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B413" w14:textId="11151177" w:rsidR="00FA48D0" w:rsidRPr="00F61B15" w:rsidRDefault="00BF1B55" w:rsidP="00FA48D0">
      <w:pPr>
        <w:pStyle w:val="Titel"/>
        <w:rPr>
          <w:color w:val="002060"/>
          <w:sz w:val="96"/>
          <w:szCs w:val="96"/>
        </w:rPr>
      </w:pPr>
      <w:r>
        <w:rPr>
          <w:color w:val="002060"/>
          <w:sz w:val="96"/>
          <w:szCs w:val="96"/>
        </w:rPr>
        <w:t>Anvendelseskr</w:t>
      </w:r>
      <w:r w:rsidR="0063335F">
        <w:rPr>
          <w:color w:val="002060"/>
          <w:sz w:val="96"/>
          <w:szCs w:val="96"/>
        </w:rPr>
        <w:t xml:space="preserve">av til </w:t>
      </w:r>
      <w:r w:rsidRPr="00F61B15">
        <w:rPr>
          <w:color w:val="002060"/>
          <w:sz w:val="96"/>
          <w:szCs w:val="96"/>
        </w:rPr>
        <w:t>SOR</w:t>
      </w:r>
      <w:r w:rsidR="00C45586" w:rsidRPr="00F61B15">
        <w:rPr>
          <w:color w:val="002060"/>
          <w:sz w:val="96"/>
          <w:szCs w:val="96"/>
        </w:rPr>
        <w:t xml:space="preserve"> </w:t>
      </w:r>
    </w:p>
    <w:p w14:paraId="5A47861E" w14:textId="77777777" w:rsidR="00F44167" w:rsidRDefault="00F44167" w:rsidP="00FA48D0">
      <w:pPr>
        <w:pStyle w:val="Titel"/>
        <w:rPr>
          <w:color w:val="002060"/>
          <w:sz w:val="52"/>
          <w:szCs w:val="52"/>
        </w:rPr>
      </w:pPr>
    </w:p>
    <w:p w14:paraId="16D7E84F" w14:textId="4FDFDDA9" w:rsidR="00FA48D0" w:rsidRPr="00F44167" w:rsidRDefault="00C45586" w:rsidP="00FA48D0">
      <w:pPr>
        <w:pStyle w:val="Titel"/>
        <w:rPr>
          <w:color w:val="002060"/>
          <w:sz w:val="52"/>
          <w:szCs w:val="52"/>
        </w:rPr>
      </w:pPr>
      <w:r w:rsidRPr="00F44167">
        <w:rPr>
          <w:color w:val="002060"/>
          <w:sz w:val="52"/>
          <w:szCs w:val="52"/>
        </w:rPr>
        <w:t xml:space="preserve">ved adressering af </w:t>
      </w:r>
    </w:p>
    <w:p w14:paraId="5A9104AC" w14:textId="688964F8" w:rsidR="00C45586" w:rsidRPr="00F44167" w:rsidRDefault="00C45586" w:rsidP="00FA48D0">
      <w:pPr>
        <w:pStyle w:val="Titel"/>
        <w:rPr>
          <w:color w:val="002060"/>
          <w:sz w:val="52"/>
          <w:szCs w:val="52"/>
        </w:rPr>
      </w:pPr>
      <w:r w:rsidRPr="00F44167">
        <w:rPr>
          <w:color w:val="002060"/>
          <w:sz w:val="52"/>
          <w:szCs w:val="52"/>
        </w:rPr>
        <w:t>MedCom</w:t>
      </w:r>
      <w:r w:rsidR="00044981">
        <w:rPr>
          <w:color w:val="002060"/>
          <w:sz w:val="52"/>
          <w:szCs w:val="52"/>
        </w:rPr>
        <w:t>-</w:t>
      </w:r>
      <w:r w:rsidRPr="00F44167">
        <w:rPr>
          <w:color w:val="002060"/>
          <w:sz w:val="52"/>
          <w:szCs w:val="52"/>
        </w:rPr>
        <w:t>meddelelse</w:t>
      </w:r>
      <w:r w:rsidR="00046EF1">
        <w:rPr>
          <w:color w:val="002060"/>
          <w:sz w:val="52"/>
          <w:szCs w:val="52"/>
        </w:rPr>
        <w:t>r</w:t>
      </w:r>
    </w:p>
    <w:p w14:paraId="5F2F7D9A" w14:textId="77777777" w:rsidR="00C45586" w:rsidRDefault="00C45586" w:rsidP="00C45586"/>
    <w:p w14:paraId="79FD3674" w14:textId="17FF12A5" w:rsidR="002766BC" w:rsidRPr="002766BC" w:rsidRDefault="002766BC" w:rsidP="00FA48D0">
      <w:pPr>
        <w:jc w:val="center"/>
        <w:rPr>
          <w:noProof/>
        </w:rPr>
      </w:pPr>
      <w:r w:rsidRPr="002766BC">
        <w:rPr>
          <w:noProof/>
        </w:rPr>
        <w:drawing>
          <wp:inline distT="0" distB="0" distL="0" distR="0" wp14:anchorId="5ADD61C9" wp14:editId="4A23C455">
            <wp:extent cx="3346450" cy="3543300"/>
            <wp:effectExtent l="0" t="0" r="0" b="0"/>
            <wp:docPr id="344307437" name="Billede 4" descr="Et billede, der indeholder begravelse, legetøj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307437" name="Billede 4" descr="Et billede, der indeholder begravelse, legetøj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3477D" w14:textId="6F82F368" w:rsidR="00EA5005" w:rsidRPr="00EA5005" w:rsidRDefault="00EA5005" w:rsidP="00EA5005">
      <w:pPr>
        <w:rPr>
          <w:noProof/>
        </w:rPr>
      </w:pPr>
    </w:p>
    <w:p w14:paraId="3BF26D0A" w14:textId="26530A02" w:rsidR="00C45586" w:rsidRPr="00FB0B11" w:rsidRDefault="00C45586" w:rsidP="00C45586">
      <w:r>
        <w:br w:type="textWrapping" w:clear="all"/>
      </w:r>
    </w:p>
    <w:p w14:paraId="5E4DE848" w14:textId="77777777" w:rsidR="00C45586" w:rsidRDefault="00C45586" w:rsidP="00C45586"/>
    <w:p w14:paraId="6DD4EF37" w14:textId="77777777" w:rsidR="00C45586" w:rsidRDefault="00C45586" w:rsidP="00C45586"/>
    <w:p w14:paraId="1CEA01C0" w14:textId="77777777" w:rsidR="00C45586" w:rsidRDefault="00C45586" w:rsidP="00C45586"/>
    <w:p w14:paraId="5851E476" w14:textId="77777777" w:rsidR="00C45586" w:rsidRDefault="00C45586" w:rsidP="00C45586"/>
    <w:p w14:paraId="58B6682B" w14:textId="77777777" w:rsidR="00C45586" w:rsidRDefault="00C45586" w:rsidP="00C45586"/>
    <w:p w14:paraId="68C729A3" w14:textId="77777777" w:rsidR="00C45586" w:rsidRDefault="00C45586" w:rsidP="00C45586"/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69295637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DAC1A28" w14:textId="77777777" w:rsidR="00C45586" w:rsidRDefault="00C45586" w:rsidP="00C45586">
          <w:pPr>
            <w:pStyle w:val="Overskrift"/>
          </w:pPr>
          <w:r>
            <w:t>Indhold</w:t>
          </w:r>
        </w:p>
        <w:p w14:paraId="1E5C3049" w14:textId="62C50341" w:rsidR="00A6077B" w:rsidRDefault="00C45586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da-DK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224030353" w:history="1">
            <w:r w:rsidR="00A6077B" w:rsidRPr="00C97CA2">
              <w:rPr>
                <w:rStyle w:val="Hyperlink"/>
                <w:noProof/>
              </w:rPr>
              <w:t>Indledning</w:t>
            </w:r>
            <w:r w:rsidR="00A6077B">
              <w:rPr>
                <w:noProof/>
                <w:webHidden/>
              </w:rPr>
              <w:tab/>
            </w:r>
            <w:r w:rsidR="00A6077B">
              <w:rPr>
                <w:noProof/>
                <w:webHidden/>
              </w:rPr>
              <w:fldChar w:fldCharType="begin"/>
            </w:r>
            <w:r w:rsidR="00A6077B">
              <w:rPr>
                <w:noProof/>
                <w:webHidden/>
              </w:rPr>
              <w:instrText xml:space="preserve"> PAGEREF _Toc224030353 \h </w:instrText>
            </w:r>
            <w:r w:rsidR="00A6077B">
              <w:rPr>
                <w:noProof/>
                <w:webHidden/>
              </w:rPr>
            </w:r>
            <w:r w:rsidR="00A6077B">
              <w:rPr>
                <w:noProof/>
                <w:webHidden/>
              </w:rPr>
              <w:fldChar w:fldCharType="separate"/>
            </w:r>
            <w:r w:rsidR="007F3FB6">
              <w:rPr>
                <w:noProof/>
                <w:webHidden/>
              </w:rPr>
              <w:t>3</w:t>
            </w:r>
            <w:r w:rsidR="00A6077B">
              <w:rPr>
                <w:noProof/>
                <w:webHidden/>
              </w:rPr>
              <w:fldChar w:fldCharType="end"/>
            </w:r>
          </w:hyperlink>
        </w:p>
        <w:p w14:paraId="51B51E09" w14:textId="2DE6CE77" w:rsidR="00A6077B" w:rsidRDefault="00A6077B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da-DK"/>
            </w:rPr>
          </w:pPr>
          <w:hyperlink w:anchor="_Toc224030354" w:history="1">
            <w:r w:rsidRPr="00C97CA2">
              <w:rPr>
                <w:rStyle w:val="Hyperlink"/>
                <w:noProof/>
              </w:rPr>
              <w:t>Oversigt over anvendelseskrav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_Toc224030354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3FB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4E1DFB" w14:textId="21FEDD6F" w:rsidR="00A6077B" w:rsidRDefault="00A6077B">
          <w:pPr>
            <w:pStyle w:val="Indholdsfortegnelse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da-DK"/>
            </w:rPr>
          </w:pPr>
          <w:hyperlink w:anchor="_Toc224030361" w:history="1">
            <w:r w:rsidRPr="00C97CA2">
              <w:rPr>
                <w:rStyle w:val="Hyperlink"/>
                <w:noProof/>
              </w:rPr>
              <w:t>1.</w:t>
            </w:r>
            <w:r>
              <w:rPr>
                <w:rFonts w:eastAsiaTheme="minorEastAsia"/>
                <w:noProof/>
                <w:sz w:val="24"/>
                <w:szCs w:val="24"/>
                <w:lang w:eastAsia="da-DK"/>
              </w:rPr>
              <w:tab/>
            </w:r>
            <w:r w:rsidRPr="00C97CA2">
              <w:rPr>
                <w:rStyle w:val="Hyperlink"/>
                <w:noProof/>
              </w:rPr>
              <w:t>Anvendelseskrav 1: Daglig indlæsning af SOR-udtræk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_Toc224030361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3FB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E0F070" w14:textId="0EFD75E5" w:rsidR="00A6077B" w:rsidRDefault="00A6077B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da-DK"/>
            </w:rPr>
          </w:pPr>
          <w:hyperlink w:anchor="_Toc224030362" w:history="1">
            <w:r w:rsidRPr="00C97CA2">
              <w:rPr>
                <w:rStyle w:val="Hyperlink"/>
                <w:noProof/>
              </w:rPr>
              <w:t>1.1 Test for anvendelseskrav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_Toc224030362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3FB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74D2C1" w14:textId="264016C4" w:rsidR="00A6077B" w:rsidRDefault="00A6077B">
          <w:pPr>
            <w:pStyle w:val="Indholdsfortegnelse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da-DK"/>
            </w:rPr>
          </w:pPr>
          <w:hyperlink w:anchor="_Toc224030363" w:history="1">
            <w:r w:rsidRPr="00C97CA2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eastAsia="da-DK"/>
              </w:rPr>
              <w:tab/>
            </w:r>
            <w:r w:rsidRPr="00C97CA2">
              <w:rPr>
                <w:rStyle w:val="Hyperlink"/>
                <w:noProof/>
              </w:rPr>
              <w:t>Anvendelseskrav 2: Inaktive lokationsnumre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_Toc224030363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3FB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C5F655" w14:textId="006792CD" w:rsidR="00A6077B" w:rsidRDefault="00A6077B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da-DK"/>
            </w:rPr>
          </w:pPr>
          <w:hyperlink w:anchor="_Toc224030364" w:history="1">
            <w:r w:rsidRPr="00C97CA2">
              <w:rPr>
                <w:rStyle w:val="Hyperlink"/>
                <w:noProof/>
              </w:rPr>
              <w:t>2.1 Test for anvendelseskrav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_Toc224030364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3FB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87C18B" w14:textId="2281969E" w:rsidR="00A6077B" w:rsidRDefault="00A6077B">
          <w:pPr>
            <w:pStyle w:val="Indholdsfortegnelse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da-DK"/>
            </w:rPr>
          </w:pPr>
          <w:hyperlink w:anchor="_Toc224030365" w:history="1">
            <w:r w:rsidRPr="00C97CA2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eastAsia="da-DK"/>
              </w:rPr>
              <w:tab/>
            </w:r>
            <w:r w:rsidRPr="00C97CA2">
              <w:rPr>
                <w:rStyle w:val="Hyperlink"/>
                <w:noProof/>
              </w:rPr>
              <w:t>Anvendelseskrav 3: Anvend status for lokationsnumre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_Toc224030365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3FB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18C0D8" w14:textId="0BB4A274" w:rsidR="00A6077B" w:rsidRDefault="00A6077B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da-DK"/>
            </w:rPr>
          </w:pPr>
          <w:hyperlink w:anchor="_Toc224030366" w:history="1">
            <w:r w:rsidRPr="00C97CA2">
              <w:rPr>
                <w:rStyle w:val="Hyperlink"/>
                <w:noProof/>
              </w:rPr>
              <w:t>3.1 Test for anvendelseskrav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_Toc224030366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3FB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AB0606" w14:textId="598B9051" w:rsidR="00A6077B" w:rsidRDefault="00A6077B">
          <w:pPr>
            <w:pStyle w:val="Indholdsfortegnelse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da-DK"/>
            </w:rPr>
          </w:pPr>
          <w:hyperlink w:anchor="_Toc224030367" w:history="1">
            <w:r w:rsidRPr="00C97CA2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eastAsia="da-DK"/>
              </w:rPr>
              <w:tab/>
            </w:r>
            <w:r w:rsidRPr="00C97CA2">
              <w:rPr>
                <w:rStyle w:val="Hyperlink"/>
                <w:noProof/>
              </w:rPr>
              <w:t>Anvendelseskrav 4: SOR-identifier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_Toc224030367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3FB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12C8B5" w14:textId="70551E9B" w:rsidR="00A6077B" w:rsidRDefault="00A6077B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da-DK"/>
            </w:rPr>
          </w:pPr>
          <w:hyperlink w:anchor="_Toc224030368" w:history="1">
            <w:r w:rsidRPr="00C97CA2">
              <w:rPr>
                <w:rStyle w:val="Hyperlink"/>
                <w:noProof/>
              </w:rPr>
              <w:t>4.1 Test for anvendelseskrav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_Toc224030368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3FB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AA87E4" w14:textId="420008DC" w:rsidR="00A6077B" w:rsidRDefault="00A6077B">
          <w:pPr>
            <w:pStyle w:val="Indholdsfortegnelse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da-DK"/>
            </w:rPr>
          </w:pPr>
          <w:hyperlink w:anchor="_Toc224030369" w:history="1">
            <w:r w:rsidRPr="00C97CA2">
              <w:rPr>
                <w:rStyle w:val="Hyperlink"/>
                <w:noProof/>
              </w:rPr>
              <w:t>5.</w:t>
            </w:r>
            <w:r>
              <w:rPr>
                <w:rFonts w:eastAsiaTheme="minorEastAsia"/>
                <w:noProof/>
                <w:sz w:val="24"/>
                <w:szCs w:val="24"/>
                <w:lang w:eastAsia="da-DK"/>
              </w:rPr>
              <w:tab/>
            </w:r>
            <w:r w:rsidRPr="00C97CA2">
              <w:rPr>
                <w:rStyle w:val="Hyperlink"/>
                <w:noProof/>
              </w:rPr>
              <w:t>Anvendelseskrav 5: Validering af meddelelsestype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_Toc224030369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3FB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2C223F" w14:textId="1758E44D" w:rsidR="00A6077B" w:rsidRDefault="00A6077B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da-DK"/>
            </w:rPr>
          </w:pPr>
          <w:hyperlink w:anchor="_Toc224030370" w:history="1">
            <w:r w:rsidRPr="00C97CA2">
              <w:rPr>
                <w:rStyle w:val="Hyperlink"/>
                <w:noProof/>
              </w:rPr>
              <w:t>5.1 Test for anvendelseskrav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_Toc224030370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3FB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2AC4CC" w14:textId="1CE29CE9" w:rsidR="00A6077B" w:rsidRDefault="00A6077B">
          <w:pPr>
            <w:pStyle w:val="Indholdsfortegnelse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da-DK"/>
            </w:rPr>
          </w:pPr>
          <w:hyperlink w:anchor="_Toc224030371" w:history="1">
            <w:r w:rsidRPr="00C97CA2">
              <w:rPr>
                <w:rStyle w:val="Hyperlink"/>
                <w:noProof/>
              </w:rPr>
              <w:t>6.</w:t>
            </w:r>
            <w:r>
              <w:rPr>
                <w:rFonts w:eastAsiaTheme="minorEastAsia"/>
                <w:noProof/>
                <w:sz w:val="24"/>
                <w:szCs w:val="24"/>
                <w:lang w:eastAsia="da-DK"/>
              </w:rPr>
              <w:tab/>
            </w:r>
            <w:r w:rsidRPr="00C97CA2">
              <w:rPr>
                <w:rStyle w:val="Hyperlink"/>
                <w:noProof/>
              </w:rPr>
              <w:t>Anvendelseskrav 6: Visning af enhed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_Toc224030371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3FB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CC8DF8" w14:textId="6C1576FE" w:rsidR="00A6077B" w:rsidRDefault="00A6077B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da-DK"/>
            </w:rPr>
          </w:pPr>
          <w:hyperlink w:anchor="_Toc224030372" w:history="1">
            <w:r w:rsidRPr="00C97CA2">
              <w:rPr>
                <w:rStyle w:val="Hyperlink"/>
                <w:noProof/>
              </w:rPr>
              <w:t>6.1 Test for anvendelseskrav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_Toc224030372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3FB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DE43E9" w14:textId="4C6E993F" w:rsidR="00A6077B" w:rsidRDefault="00A03D20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da-DK"/>
            </w:rPr>
          </w:pPr>
          <w:r>
            <w:rPr>
              <w:rStyle w:val="Hyperlink"/>
              <w:noProof/>
            </w:rPr>
            <w:t xml:space="preserve">7.     </w:t>
          </w:r>
          <w:hyperlink w:anchor="_Toc224030374" w:history="1">
            <w:r w:rsidR="00A6077B" w:rsidRPr="00C97CA2">
              <w:rPr>
                <w:rStyle w:val="Hyperlink"/>
                <w:noProof/>
              </w:rPr>
              <w:t>Anvendelseskrav 7: Lukkede enheder</w:t>
            </w:r>
            <w:r w:rsidR="00A6077B">
              <w:rPr>
                <w:noProof/>
                <w:webHidden/>
              </w:rPr>
              <w:tab/>
            </w:r>
            <w:r w:rsidR="00A6077B">
              <w:rPr>
                <w:noProof/>
                <w:webHidden/>
              </w:rPr>
              <w:fldChar w:fldCharType="begin"/>
            </w:r>
            <w:r w:rsidR="00A6077B">
              <w:rPr>
                <w:noProof/>
                <w:webHidden/>
              </w:rPr>
              <w:instrText xml:space="preserve"> PAGEREF _Toc224030374 \h </w:instrText>
            </w:r>
            <w:r w:rsidR="00A6077B">
              <w:rPr>
                <w:noProof/>
                <w:webHidden/>
              </w:rPr>
            </w:r>
            <w:r w:rsidR="00A6077B">
              <w:rPr>
                <w:noProof/>
                <w:webHidden/>
              </w:rPr>
              <w:fldChar w:fldCharType="separate"/>
            </w:r>
            <w:r w:rsidR="007F3FB6">
              <w:rPr>
                <w:noProof/>
                <w:webHidden/>
              </w:rPr>
              <w:t>7</w:t>
            </w:r>
            <w:r w:rsidR="00A6077B">
              <w:rPr>
                <w:noProof/>
                <w:webHidden/>
              </w:rPr>
              <w:fldChar w:fldCharType="end"/>
            </w:r>
          </w:hyperlink>
        </w:p>
        <w:p w14:paraId="62E019AF" w14:textId="1381434E" w:rsidR="00A6077B" w:rsidRDefault="00A6077B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da-DK"/>
            </w:rPr>
          </w:pPr>
          <w:hyperlink w:anchor="_Toc224030375" w:history="1">
            <w:r w:rsidRPr="00C97CA2">
              <w:rPr>
                <w:rStyle w:val="Hyperlink"/>
                <w:noProof/>
              </w:rPr>
              <w:t>7.1 Test for anvendelseskrav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_Toc224030375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3FB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4638D2" w14:textId="4D32F4CB" w:rsidR="00A6077B" w:rsidRDefault="00A6077B">
          <w:pPr>
            <w:pStyle w:val="Indholdsfortegnelse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da-DK"/>
            </w:rPr>
          </w:pPr>
          <w:hyperlink w:anchor="_Toc224030376" w:history="1">
            <w:r w:rsidRPr="00C97CA2">
              <w:rPr>
                <w:rStyle w:val="Hyperlink"/>
                <w:noProof/>
              </w:rPr>
              <w:t>8.</w:t>
            </w:r>
            <w:r>
              <w:rPr>
                <w:rFonts w:eastAsiaTheme="minorEastAsia"/>
                <w:noProof/>
                <w:sz w:val="24"/>
                <w:szCs w:val="24"/>
                <w:lang w:eastAsia="da-DK"/>
              </w:rPr>
              <w:tab/>
            </w:r>
            <w:r w:rsidRPr="00C97CA2">
              <w:rPr>
                <w:rStyle w:val="Hyperlink"/>
                <w:noProof/>
              </w:rPr>
              <w:t>Anvendelseskrav 8: Forsendelse til aktive lokationsnumre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_Toc224030376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3FB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FEBFDD" w14:textId="30BCE8F2" w:rsidR="00A6077B" w:rsidRDefault="00A6077B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da-DK"/>
            </w:rPr>
          </w:pPr>
          <w:hyperlink w:anchor="_Toc224030377" w:history="1">
            <w:r w:rsidRPr="00C97CA2">
              <w:rPr>
                <w:rStyle w:val="Hyperlink"/>
                <w:noProof/>
              </w:rPr>
              <w:t>8.1 Test for anvendelseskrav 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_Toc224030377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3FB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BCF019" w14:textId="7FB74E58" w:rsidR="00C45586" w:rsidRDefault="00C45586" w:rsidP="00C45586">
          <w:r>
            <w:fldChar w:fldCharType="end"/>
          </w:r>
        </w:p>
      </w:sdtContent>
    </w:sdt>
    <w:p w14:paraId="7753FA5F" w14:textId="77777777" w:rsidR="00C45586" w:rsidRDefault="00C45586" w:rsidP="00C45586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br w:type="page"/>
      </w:r>
    </w:p>
    <w:p w14:paraId="79BA5733" w14:textId="1196091E" w:rsidR="00C45586" w:rsidRDefault="00686F4E" w:rsidP="00CF0B38">
      <w:pPr>
        <w:pStyle w:val="Overskrift1"/>
        <w:jc w:val="both"/>
      </w:pPr>
      <w:bookmarkStart w:id="0" w:name="_Toc224030353"/>
      <w:r>
        <w:lastRenderedPageBreak/>
        <w:t>Indledning</w:t>
      </w:r>
      <w:bookmarkEnd w:id="0"/>
      <w:r>
        <w:t xml:space="preserve"> </w:t>
      </w:r>
    </w:p>
    <w:p w14:paraId="3CF52A82" w14:textId="22CDFD8C" w:rsidR="00686F4E" w:rsidRDefault="00C45586" w:rsidP="00C45586">
      <w:r>
        <w:t xml:space="preserve">Dette dokument </w:t>
      </w:r>
      <w:r w:rsidR="00686F4E">
        <w:t>beskriver krav til anvendelse af SOR ved adressering af en MedCom</w:t>
      </w:r>
      <w:r w:rsidR="00044981">
        <w:t>-</w:t>
      </w:r>
      <w:r w:rsidR="00686F4E">
        <w:t>standard. Alle it-systemer, som er godkendt til at anvende MedCom</w:t>
      </w:r>
      <w:r w:rsidR="00044981">
        <w:t>-</w:t>
      </w:r>
      <w:r w:rsidR="00686F4E">
        <w:t>standarder, er forpligtet til at følge de fælles obligatoriske krav til anvendelse af SOR ved adressering af en MedCom</w:t>
      </w:r>
      <w:r w:rsidR="00044981">
        <w:t>-</w:t>
      </w:r>
      <w:r w:rsidR="001E3C08">
        <w:t>meddelelse</w:t>
      </w:r>
      <w:r w:rsidR="00686F4E">
        <w:t xml:space="preserve">. </w:t>
      </w:r>
    </w:p>
    <w:p w14:paraId="6826D97D" w14:textId="5384BBC0" w:rsidR="004C71FB" w:rsidRDefault="00686F4E" w:rsidP="00C45586">
      <w:r>
        <w:t xml:space="preserve">Formålet med fælles anvendelseskrav er at </w:t>
      </w:r>
      <w:r w:rsidR="004C71FB">
        <w:t>opnå nem</w:t>
      </w:r>
      <w:r w:rsidR="00B116E8">
        <w:t>t</w:t>
      </w:r>
      <w:r w:rsidR="004C71FB">
        <w:t xml:space="preserve"> og sik</w:t>
      </w:r>
      <w:r w:rsidR="00B116E8">
        <w:t>kert</w:t>
      </w:r>
      <w:r w:rsidR="004C71FB">
        <w:t xml:space="preserve"> valg af modtager af en MedCom</w:t>
      </w:r>
      <w:r w:rsidR="00044981">
        <w:t>-</w:t>
      </w:r>
      <w:r w:rsidR="004C71FB">
        <w:t>meddelelse</w:t>
      </w:r>
      <w:r w:rsidR="00B670ED">
        <w:t xml:space="preserve"> og undgå fejlforsendelser. Det gælder såvel </w:t>
      </w:r>
      <w:r w:rsidR="000B4E37">
        <w:t xml:space="preserve">ved </w:t>
      </w:r>
      <w:r w:rsidR="001E3C08">
        <w:t>automatisk opsætning</w:t>
      </w:r>
      <w:r w:rsidR="00B670ED">
        <w:t xml:space="preserve"> af modtager, samt ved manuelt valg af modtager. </w:t>
      </w:r>
    </w:p>
    <w:p w14:paraId="1034F5EA" w14:textId="77777777" w:rsidR="00C551C3" w:rsidRDefault="00C551C3" w:rsidP="00C551C3">
      <w:r w:rsidRPr="00E2537E">
        <w:t>Udgangspunktet for anvendelseskravene er, at SOR altid er det autoritative register for oplysninger om lokationsnumre og dertilhørende data.</w:t>
      </w:r>
      <w:r>
        <w:t xml:space="preserve"> </w:t>
      </w:r>
    </w:p>
    <w:p w14:paraId="315F829D" w14:textId="1752B904" w:rsidR="00E2537E" w:rsidRDefault="00E2537E" w:rsidP="00E2537E">
      <w:bookmarkStart w:id="1" w:name="_Hlk215650289"/>
      <w:r w:rsidRPr="001C2E28">
        <w:t>Værdien af anvendelseskravene har tæt sammenhæng til kvalitet af SOR-data. Når SOR-data er valide og opdaterede</w:t>
      </w:r>
      <w:r w:rsidR="005153C3">
        <w:t>,</w:t>
      </w:r>
      <w:r w:rsidRPr="001C2E28">
        <w:t xml:space="preserve"> vil værdien af anvendelseskravene kunne indfries.</w:t>
      </w:r>
      <w:r>
        <w:t xml:space="preserve">  </w:t>
      </w:r>
    </w:p>
    <w:bookmarkEnd w:id="1"/>
    <w:p w14:paraId="28ED1CB9" w14:textId="2BE115C8" w:rsidR="00C056A9" w:rsidRDefault="00C056A9" w:rsidP="00C45586">
      <w:r>
        <w:t>For hvert anvendelseskrav er indsat en note om</w:t>
      </w:r>
      <w:r w:rsidR="00044981">
        <w:t>,</w:t>
      </w:r>
      <w:r>
        <w:t xml:space="preserve"> hvorledes kravet kan testes, som vil danne udgangspunkt for en </w:t>
      </w:r>
      <w:r w:rsidR="00921705">
        <w:t>testprotokol</w:t>
      </w:r>
      <w:r>
        <w:t xml:space="preserve">. </w:t>
      </w:r>
    </w:p>
    <w:p w14:paraId="512369F9" w14:textId="77777777" w:rsidR="00322F5B" w:rsidRDefault="00322F5B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788D203B" w14:textId="015C688C" w:rsidR="00842018" w:rsidRDefault="00842018" w:rsidP="00842018">
      <w:pPr>
        <w:pStyle w:val="Overskrift1"/>
        <w:jc w:val="both"/>
      </w:pPr>
      <w:bookmarkStart w:id="2" w:name="_Toc224030354"/>
      <w:r>
        <w:lastRenderedPageBreak/>
        <w:t>Oversigt over anvendelseskrav</w:t>
      </w:r>
      <w:bookmarkEnd w:id="2"/>
      <w:r>
        <w:t xml:space="preserve"> </w:t>
      </w:r>
    </w:p>
    <w:p w14:paraId="569BF8EB" w14:textId="77777777" w:rsidR="00546477" w:rsidRDefault="00546477" w:rsidP="0054647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4"/>
        <w:gridCol w:w="5714"/>
        <w:gridCol w:w="3210"/>
      </w:tblGrid>
      <w:tr w:rsidR="00546477" w14:paraId="47826C0B" w14:textId="77777777" w:rsidTr="00546477">
        <w:tc>
          <w:tcPr>
            <w:tcW w:w="704" w:type="dxa"/>
          </w:tcPr>
          <w:p w14:paraId="1F43525B" w14:textId="4CB4392F" w:rsidR="00546477" w:rsidRDefault="00BB5341" w:rsidP="00546477">
            <w:r>
              <w:t xml:space="preserve">Nr. </w:t>
            </w:r>
          </w:p>
        </w:tc>
        <w:tc>
          <w:tcPr>
            <w:tcW w:w="5714" w:type="dxa"/>
          </w:tcPr>
          <w:p w14:paraId="74BB3D01" w14:textId="7193C01B" w:rsidR="00546477" w:rsidRDefault="00546477" w:rsidP="00546477">
            <w:r>
              <w:t>Beskrivelse af anvendelseskrav</w:t>
            </w:r>
          </w:p>
        </w:tc>
        <w:tc>
          <w:tcPr>
            <w:tcW w:w="3210" w:type="dxa"/>
          </w:tcPr>
          <w:p w14:paraId="4E20484C" w14:textId="1D86AE2F" w:rsidR="00546477" w:rsidRDefault="00E2537E" w:rsidP="00546477">
            <w:r>
              <w:t>Aktør</w:t>
            </w:r>
          </w:p>
        </w:tc>
      </w:tr>
      <w:tr w:rsidR="00546477" w14:paraId="6FC74EED" w14:textId="77777777" w:rsidTr="00546477">
        <w:tc>
          <w:tcPr>
            <w:tcW w:w="704" w:type="dxa"/>
          </w:tcPr>
          <w:p w14:paraId="7177B311" w14:textId="4C96E0F7" w:rsidR="00546477" w:rsidRDefault="00546477" w:rsidP="00546477">
            <w:r>
              <w:t>1</w:t>
            </w:r>
          </w:p>
        </w:tc>
        <w:tc>
          <w:tcPr>
            <w:tcW w:w="5714" w:type="dxa"/>
          </w:tcPr>
          <w:p w14:paraId="181D818C" w14:textId="17929372" w:rsidR="00546477" w:rsidRDefault="00546477" w:rsidP="00546477">
            <w:r>
              <w:t xml:space="preserve">Daglig </w:t>
            </w:r>
            <w:r w:rsidR="008E486D">
              <w:t>opdatering</w:t>
            </w:r>
            <w:r>
              <w:t xml:space="preserve"> </w:t>
            </w:r>
            <w:r w:rsidR="00111FBC">
              <w:t>med nyeste</w:t>
            </w:r>
            <w:r>
              <w:t xml:space="preserve"> SOR-udtræk</w:t>
            </w:r>
            <w:r w:rsidR="00111FBC">
              <w:t xml:space="preserve">, inkl. SOR-EDI og pakketabel. </w:t>
            </w:r>
          </w:p>
        </w:tc>
        <w:tc>
          <w:tcPr>
            <w:tcW w:w="3210" w:type="dxa"/>
          </w:tcPr>
          <w:p w14:paraId="584724A3" w14:textId="1B5AEC4B" w:rsidR="00546477" w:rsidRDefault="00D3402E" w:rsidP="00546477">
            <w:r>
              <w:t>It-system</w:t>
            </w:r>
          </w:p>
          <w:p w14:paraId="3EFFA0C4" w14:textId="77777777" w:rsidR="008728DE" w:rsidRDefault="008728DE" w:rsidP="00546477"/>
        </w:tc>
      </w:tr>
      <w:tr w:rsidR="00546477" w14:paraId="353C44C1" w14:textId="77777777" w:rsidTr="00546477">
        <w:tc>
          <w:tcPr>
            <w:tcW w:w="704" w:type="dxa"/>
          </w:tcPr>
          <w:p w14:paraId="4C2BBE20" w14:textId="534146EF" w:rsidR="00546477" w:rsidRDefault="00546477" w:rsidP="00546477">
            <w:r>
              <w:t>2</w:t>
            </w:r>
          </w:p>
        </w:tc>
        <w:tc>
          <w:tcPr>
            <w:tcW w:w="5714" w:type="dxa"/>
          </w:tcPr>
          <w:p w14:paraId="4529BE59" w14:textId="253414D5" w:rsidR="00546477" w:rsidRDefault="007314DD" w:rsidP="00546477">
            <w:r>
              <w:t xml:space="preserve">Der kan ikke sendes meddelelser til </w:t>
            </w:r>
            <w:r w:rsidR="00845B65">
              <w:t xml:space="preserve">og fra </w:t>
            </w:r>
            <w:r>
              <w:t>inaktive lokationsnumre</w:t>
            </w:r>
            <w:r w:rsidR="00845B65">
              <w:t>.</w:t>
            </w:r>
          </w:p>
        </w:tc>
        <w:tc>
          <w:tcPr>
            <w:tcW w:w="3210" w:type="dxa"/>
          </w:tcPr>
          <w:p w14:paraId="2EF1C8B1" w14:textId="77777777" w:rsidR="00D3402E" w:rsidRDefault="00D3402E" w:rsidP="00D3402E">
            <w:r>
              <w:t>It-system</w:t>
            </w:r>
          </w:p>
          <w:p w14:paraId="6D78254F" w14:textId="77777777" w:rsidR="00546477" w:rsidRDefault="00546477" w:rsidP="00546477"/>
        </w:tc>
      </w:tr>
      <w:tr w:rsidR="0095674E" w14:paraId="33B631C2" w14:textId="77777777" w:rsidTr="00546477">
        <w:tc>
          <w:tcPr>
            <w:tcW w:w="704" w:type="dxa"/>
          </w:tcPr>
          <w:p w14:paraId="64377D0E" w14:textId="0A4B2B8C" w:rsidR="0095674E" w:rsidRDefault="00FC0917" w:rsidP="00546477">
            <w:r>
              <w:t>3</w:t>
            </w:r>
          </w:p>
        </w:tc>
        <w:tc>
          <w:tcPr>
            <w:tcW w:w="5714" w:type="dxa"/>
          </w:tcPr>
          <w:p w14:paraId="3FC56657" w14:textId="3D80E443" w:rsidR="0095674E" w:rsidRDefault="0095674E" w:rsidP="00546477">
            <w:r>
              <w:t xml:space="preserve">It-systemet skal skelne mellem </w:t>
            </w:r>
            <w:r w:rsidR="0002579C">
              <w:t>lokationsnummerstatus egen og nedarvet</w:t>
            </w:r>
          </w:p>
        </w:tc>
        <w:tc>
          <w:tcPr>
            <w:tcW w:w="3210" w:type="dxa"/>
          </w:tcPr>
          <w:p w14:paraId="50150F95" w14:textId="77777777" w:rsidR="00D3402E" w:rsidRDefault="00D3402E" w:rsidP="00D3402E">
            <w:r>
              <w:t>It-system</w:t>
            </w:r>
          </w:p>
          <w:p w14:paraId="12F3F2CC" w14:textId="77777777" w:rsidR="0095674E" w:rsidRDefault="0095674E" w:rsidP="00546477"/>
        </w:tc>
      </w:tr>
      <w:tr w:rsidR="00143144" w14:paraId="1595CBFD" w14:textId="77777777" w:rsidTr="00546477">
        <w:tc>
          <w:tcPr>
            <w:tcW w:w="704" w:type="dxa"/>
          </w:tcPr>
          <w:p w14:paraId="66856C93" w14:textId="2EBF5F16" w:rsidR="00143144" w:rsidRDefault="00143144" w:rsidP="00546477">
            <w:r>
              <w:t>4</w:t>
            </w:r>
          </w:p>
        </w:tc>
        <w:tc>
          <w:tcPr>
            <w:tcW w:w="5714" w:type="dxa"/>
          </w:tcPr>
          <w:p w14:paraId="27A32F73" w14:textId="3E23E99A" w:rsidR="00143144" w:rsidRDefault="009E5FB9" w:rsidP="00546477">
            <w:r>
              <w:t xml:space="preserve">Hvis </w:t>
            </w:r>
            <w:r w:rsidR="00143144">
              <w:t>SOR-kode</w:t>
            </w:r>
            <w:r>
              <w:t xml:space="preserve"> anvendes</w:t>
            </w:r>
            <w:r w:rsidR="00143144">
              <w:t xml:space="preserve"> som </w:t>
            </w:r>
            <w:proofErr w:type="spellStart"/>
            <w:r w:rsidR="00143144">
              <w:t>identifier</w:t>
            </w:r>
            <w:proofErr w:type="spellEnd"/>
            <w:r>
              <w:t>, skal SOR-koden have tilknyttet</w:t>
            </w:r>
            <w:r w:rsidR="00CF6032">
              <w:t xml:space="preserve"> </w:t>
            </w:r>
            <w:r>
              <w:t>et</w:t>
            </w:r>
            <w:r w:rsidR="00143144">
              <w:t xml:space="preserve"> lokationsnummer</w:t>
            </w:r>
          </w:p>
        </w:tc>
        <w:tc>
          <w:tcPr>
            <w:tcW w:w="3210" w:type="dxa"/>
          </w:tcPr>
          <w:p w14:paraId="2E5166DC" w14:textId="77777777" w:rsidR="00143144" w:rsidRDefault="00143144" w:rsidP="00D3402E">
            <w:r>
              <w:t>It-system</w:t>
            </w:r>
          </w:p>
          <w:p w14:paraId="3A6025C5" w14:textId="28BC1E6F" w:rsidR="00143144" w:rsidRDefault="00143144" w:rsidP="00D3402E"/>
        </w:tc>
      </w:tr>
      <w:tr w:rsidR="0002579C" w14:paraId="57AF5567" w14:textId="77777777" w:rsidTr="00546477">
        <w:tc>
          <w:tcPr>
            <w:tcW w:w="704" w:type="dxa"/>
          </w:tcPr>
          <w:p w14:paraId="2EAFE302" w14:textId="1507D710" w:rsidR="0002579C" w:rsidRDefault="00143144" w:rsidP="00546477">
            <w:r>
              <w:t>5</w:t>
            </w:r>
          </w:p>
        </w:tc>
        <w:tc>
          <w:tcPr>
            <w:tcW w:w="5714" w:type="dxa"/>
          </w:tcPr>
          <w:p w14:paraId="2CA494E0" w14:textId="2CA6F3E0" w:rsidR="0002579C" w:rsidRDefault="0002579C" w:rsidP="00546477">
            <w:r>
              <w:t>Validering af meddelelsestype</w:t>
            </w:r>
            <w:r w:rsidR="009831E4">
              <w:t xml:space="preserve"> ved afsendelse</w:t>
            </w:r>
          </w:p>
        </w:tc>
        <w:tc>
          <w:tcPr>
            <w:tcW w:w="3210" w:type="dxa"/>
          </w:tcPr>
          <w:p w14:paraId="5022FAA8" w14:textId="77777777" w:rsidR="00D3402E" w:rsidRDefault="00D3402E" w:rsidP="00D3402E">
            <w:r>
              <w:t>It-system</w:t>
            </w:r>
          </w:p>
          <w:p w14:paraId="40F0245A" w14:textId="77777777" w:rsidR="008728DE" w:rsidRDefault="008728DE" w:rsidP="00546477"/>
        </w:tc>
      </w:tr>
      <w:tr w:rsidR="0002579C" w14:paraId="370846E9" w14:textId="77777777" w:rsidTr="00546477">
        <w:tc>
          <w:tcPr>
            <w:tcW w:w="704" w:type="dxa"/>
          </w:tcPr>
          <w:p w14:paraId="3E5A000C" w14:textId="63B9A637" w:rsidR="0002579C" w:rsidRDefault="00143144" w:rsidP="00546477">
            <w:r>
              <w:t>6</w:t>
            </w:r>
          </w:p>
        </w:tc>
        <w:tc>
          <w:tcPr>
            <w:tcW w:w="5714" w:type="dxa"/>
          </w:tcPr>
          <w:p w14:paraId="1DC097D1" w14:textId="743111B5" w:rsidR="0002579C" w:rsidRDefault="00A937E8" w:rsidP="00546477">
            <w:r>
              <w:t>Visning af</w:t>
            </w:r>
            <w:r w:rsidR="004E604C">
              <w:t xml:space="preserve"> </w:t>
            </w:r>
            <w:r w:rsidR="00F55554">
              <w:t>enhed. It-systemet skal sammensætte data fra andre niveauer i SOR, så kommunenavn og hospitals-sygehusnavn fremgår. Det skal være muligt for brugeren at se enhedstypen for SOR-enheden med lokationsnummer.</w:t>
            </w:r>
          </w:p>
        </w:tc>
        <w:tc>
          <w:tcPr>
            <w:tcW w:w="3210" w:type="dxa"/>
          </w:tcPr>
          <w:p w14:paraId="63B9545A" w14:textId="77777777" w:rsidR="00D3402E" w:rsidRDefault="00D3402E" w:rsidP="00D3402E">
            <w:r>
              <w:t>It-system</w:t>
            </w:r>
          </w:p>
          <w:p w14:paraId="008CDD09" w14:textId="77777777" w:rsidR="0002579C" w:rsidRDefault="0002579C" w:rsidP="00546477"/>
        </w:tc>
      </w:tr>
      <w:tr w:rsidR="00D3402E" w14:paraId="195F9DBA" w14:textId="77777777" w:rsidTr="00546477">
        <w:tc>
          <w:tcPr>
            <w:tcW w:w="704" w:type="dxa"/>
          </w:tcPr>
          <w:p w14:paraId="2F4AD6D7" w14:textId="1BE899B1" w:rsidR="00D3402E" w:rsidRDefault="00F55554" w:rsidP="00546477">
            <w:r>
              <w:t>7</w:t>
            </w:r>
          </w:p>
        </w:tc>
        <w:tc>
          <w:tcPr>
            <w:tcW w:w="5714" w:type="dxa"/>
          </w:tcPr>
          <w:p w14:paraId="6520B1E5" w14:textId="61F5F519" w:rsidR="00D3402E" w:rsidRDefault="00D3402E" w:rsidP="00546477">
            <w:r>
              <w:t xml:space="preserve">Det er ikke tilladt at sende til lukkede lokationsnumre i SOR </w:t>
            </w:r>
          </w:p>
        </w:tc>
        <w:tc>
          <w:tcPr>
            <w:tcW w:w="3210" w:type="dxa"/>
          </w:tcPr>
          <w:p w14:paraId="32559C72" w14:textId="4826DC9A" w:rsidR="00D3402E" w:rsidRDefault="00D3402E" w:rsidP="00546477">
            <w:r>
              <w:t>V</w:t>
            </w:r>
            <w:r w:rsidR="00B748E1">
              <w:t>ANS</w:t>
            </w:r>
            <w:r>
              <w:t>-leverandør</w:t>
            </w:r>
          </w:p>
        </w:tc>
      </w:tr>
      <w:tr w:rsidR="00CF6032" w14:paraId="13D27FE9" w14:textId="77777777" w:rsidTr="00546477">
        <w:tc>
          <w:tcPr>
            <w:tcW w:w="704" w:type="dxa"/>
          </w:tcPr>
          <w:p w14:paraId="4BC0AFE9" w14:textId="455CD765" w:rsidR="00CF6032" w:rsidRPr="00E2537E" w:rsidRDefault="00F55554" w:rsidP="00546477">
            <w:r>
              <w:t>8</w:t>
            </w:r>
          </w:p>
        </w:tc>
        <w:tc>
          <w:tcPr>
            <w:tcW w:w="5714" w:type="dxa"/>
          </w:tcPr>
          <w:p w14:paraId="3A295C81" w14:textId="1DDEC3F0" w:rsidR="00CF6032" w:rsidRPr="00E2537E" w:rsidRDefault="00CF6032" w:rsidP="00546477">
            <w:r w:rsidRPr="00E2537E">
              <w:t>Det er ikke tilladt at afvise meddelelser til aktive lokationsnumre i SOR</w:t>
            </w:r>
          </w:p>
        </w:tc>
        <w:tc>
          <w:tcPr>
            <w:tcW w:w="3210" w:type="dxa"/>
          </w:tcPr>
          <w:p w14:paraId="5FCE990D" w14:textId="5C8BB95A" w:rsidR="00CF6032" w:rsidRPr="00E2537E" w:rsidRDefault="00CF6032" w:rsidP="00546477">
            <w:r w:rsidRPr="00E2537E">
              <w:t>VANS-leverandør</w:t>
            </w:r>
          </w:p>
        </w:tc>
      </w:tr>
    </w:tbl>
    <w:p w14:paraId="50702251" w14:textId="71B0D79F" w:rsidR="00F82F73" w:rsidRDefault="00F82F73" w:rsidP="00546477">
      <w:pPr>
        <w:rPr>
          <w:b/>
          <w:bCs/>
        </w:rPr>
      </w:pPr>
    </w:p>
    <w:p w14:paraId="284CE3BA" w14:textId="77777777" w:rsidR="00F82F73" w:rsidRDefault="00F82F73">
      <w:pPr>
        <w:rPr>
          <w:b/>
          <w:bCs/>
        </w:rPr>
      </w:pPr>
      <w:r>
        <w:rPr>
          <w:b/>
          <w:bCs/>
        </w:rPr>
        <w:br w:type="page"/>
      </w:r>
    </w:p>
    <w:p w14:paraId="2B2D46FA" w14:textId="1DA0695E" w:rsidR="00E43395" w:rsidRDefault="00E43395" w:rsidP="001E45DE">
      <w:pPr>
        <w:pStyle w:val="Overskrift1"/>
        <w:numPr>
          <w:ilvl w:val="0"/>
          <w:numId w:val="5"/>
        </w:numPr>
      </w:pPr>
      <w:bookmarkStart w:id="3" w:name="_Toc224030355"/>
      <w:bookmarkStart w:id="4" w:name="_Toc224030356"/>
      <w:bookmarkStart w:id="5" w:name="_Toc224030357"/>
      <w:bookmarkStart w:id="6" w:name="_Toc224030358"/>
      <w:bookmarkStart w:id="7" w:name="_Toc224030359"/>
      <w:bookmarkStart w:id="8" w:name="_Toc224030360"/>
      <w:bookmarkStart w:id="9" w:name="_Toc224030361"/>
      <w:bookmarkEnd w:id="3"/>
      <w:bookmarkEnd w:id="4"/>
      <w:bookmarkEnd w:id="5"/>
      <w:bookmarkEnd w:id="6"/>
      <w:bookmarkEnd w:id="7"/>
      <w:bookmarkEnd w:id="8"/>
      <w:r w:rsidRPr="001E45DE">
        <w:lastRenderedPageBreak/>
        <w:t>Anvendelseskrav</w:t>
      </w:r>
      <w:r>
        <w:t xml:space="preserve"> 1: </w:t>
      </w:r>
      <w:r w:rsidR="00B822A1">
        <w:t xml:space="preserve">Daglig </w:t>
      </w:r>
      <w:r w:rsidR="00201334">
        <w:t xml:space="preserve">indlæsning </w:t>
      </w:r>
      <w:r>
        <w:t xml:space="preserve">af </w:t>
      </w:r>
      <w:r w:rsidR="008372B8">
        <w:t>SOR-udtræk</w:t>
      </w:r>
      <w:bookmarkEnd w:id="9"/>
    </w:p>
    <w:p w14:paraId="7183CB09" w14:textId="1208BB9A" w:rsidR="00576C57" w:rsidRDefault="00AD124A" w:rsidP="00C45586">
      <w:r>
        <w:t>It-systemet skal opdatere</w:t>
      </w:r>
      <w:r w:rsidR="00576C57">
        <w:t xml:space="preserve">s med nyeste </w:t>
      </w:r>
      <w:r w:rsidR="00B27171">
        <w:t>SOR</w:t>
      </w:r>
      <w:r w:rsidR="00576C57">
        <w:t>-udtræk</w:t>
      </w:r>
      <w:r w:rsidR="00201334">
        <w:t xml:space="preserve"> </w:t>
      </w:r>
      <w:r w:rsidR="00B27171">
        <w:t>dagligt</w:t>
      </w:r>
      <w:r w:rsidR="00576C57">
        <w:t xml:space="preserve">, det gælder også SOR-EDI. It-systemer, som anvender pakketabellen skal dagligt opdateres med nyeste udtræk af pakketabellen. </w:t>
      </w:r>
    </w:p>
    <w:p w14:paraId="2EA45795" w14:textId="2917811E" w:rsidR="00576C57" w:rsidRDefault="00576C57" w:rsidP="00C45586">
      <w:r>
        <w:t>SOR</w:t>
      </w:r>
      <w:r w:rsidR="00201334">
        <w:t>-</w:t>
      </w:r>
      <w:r>
        <w:t xml:space="preserve">udtræk hentes her; </w:t>
      </w:r>
      <w:hyperlink r:id="rId12" w:history="1">
        <w:r w:rsidRPr="00576C57">
          <w:rPr>
            <w:rStyle w:val="Hyperlink"/>
          </w:rPr>
          <w:t>sor-filer.sundhedsdata.dk - /</w:t>
        </w:r>
        <w:proofErr w:type="spellStart"/>
        <w:r w:rsidRPr="00576C57">
          <w:rPr>
            <w:rStyle w:val="Hyperlink"/>
          </w:rPr>
          <w:t>sor_produktion</w:t>
        </w:r>
        <w:proofErr w:type="spellEnd"/>
        <w:r w:rsidRPr="00576C57">
          <w:rPr>
            <w:rStyle w:val="Hyperlink"/>
          </w:rPr>
          <w:t>/data/</w:t>
        </w:r>
        <w:proofErr w:type="spellStart"/>
        <w:r w:rsidRPr="00576C57">
          <w:rPr>
            <w:rStyle w:val="Hyperlink"/>
          </w:rPr>
          <w:t>sor</w:t>
        </w:r>
        <w:proofErr w:type="spellEnd"/>
        <w:r w:rsidRPr="00576C57">
          <w:rPr>
            <w:rStyle w:val="Hyperlink"/>
          </w:rPr>
          <w:t>/</w:t>
        </w:r>
        <w:proofErr w:type="spellStart"/>
        <w:r w:rsidRPr="00576C57">
          <w:rPr>
            <w:rStyle w:val="Hyperlink"/>
          </w:rPr>
          <w:t>sorxml</w:t>
        </w:r>
        <w:proofErr w:type="spellEnd"/>
        <w:r w:rsidRPr="00576C57">
          <w:rPr>
            <w:rStyle w:val="Hyperlink"/>
          </w:rPr>
          <w:t>/v_3_0_0/</w:t>
        </w:r>
      </w:hyperlink>
    </w:p>
    <w:p w14:paraId="293DC59A" w14:textId="77777777" w:rsidR="00576C57" w:rsidRDefault="00576C57" w:rsidP="00C45586">
      <w:r>
        <w:t>SOR-</w:t>
      </w:r>
      <w:proofErr w:type="spellStart"/>
      <w:r>
        <w:t>EDItyper</w:t>
      </w:r>
      <w:proofErr w:type="spellEnd"/>
      <w:r>
        <w:t xml:space="preserve"> hentes her: </w:t>
      </w:r>
      <w:hyperlink r:id="rId13" w:history="1">
        <w:r w:rsidRPr="00576C57">
          <w:rPr>
            <w:rStyle w:val="Hyperlink"/>
          </w:rPr>
          <w:t>sor-filer.sundhedsdata.dk - /</w:t>
        </w:r>
        <w:proofErr w:type="spellStart"/>
        <w:r w:rsidRPr="00576C57">
          <w:rPr>
            <w:rStyle w:val="Hyperlink"/>
          </w:rPr>
          <w:t>sor_produktion</w:t>
        </w:r>
        <w:proofErr w:type="spellEnd"/>
        <w:r w:rsidRPr="00576C57">
          <w:rPr>
            <w:rStyle w:val="Hyperlink"/>
          </w:rPr>
          <w:t>/data/</w:t>
        </w:r>
        <w:proofErr w:type="spellStart"/>
        <w:r w:rsidRPr="00576C57">
          <w:rPr>
            <w:rStyle w:val="Hyperlink"/>
          </w:rPr>
          <w:t>sor</w:t>
        </w:r>
        <w:proofErr w:type="spellEnd"/>
        <w:r w:rsidRPr="00576C57">
          <w:rPr>
            <w:rStyle w:val="Hyperlink"/>
          </w:rPr>
          <w:t>/edityper/</w:t>
        </w:r>
      </w:hyperlink>
    </w:p>
    <w:p w14:paraId="1A7F2453" w14:textId="0829EC71" w:rsidR="00AC23AC" w:rsidRPr="00AC23AC" w:rsidRDefault="00576C57" w:rsidP="00AC23AC">
      <w:r>
        <w:t xml:space="preserve">Pakketabellen hentes her: </w:t>
      </w:r>
      <w:hyperlink r:id="rId14" w:history="1">
        <w:r w:rsidR="00AC23AC" w:rsidRPr="00944583">
          <w:rPr>
            <w:rStyle w:val="Hyperlink"/>
          </w:rPr>
          <w:t>https://statistik.medcom.dk/exports/treatment_packages.zip</w:t>
        </w:r>
      </w:hyperlink>
      <w:r w:rsidR="00AC23AC">
        <w:t xml:space="preserve"> </w:t>
      </w:r>
    </w:p>
    <w:p w14:paraId="43C41172" w14:textId="62C45B15" w:rsidR="00201334" w:rsidRDefault="00F60D32" w:rsidP="00C45586">
      <w:r w:rsidRPr="00C93864">
        <w:t>Lokalt gemte modtagere i it-systemet, f.eks. lokalt gemte favoritter, skal ligeledes opdateres dagligt med nyeste SOR-data og status for pågældende modtager (ex. hvis modtager ikke længere findes i SOR).</w:t>
      </w:r>
      <w:r>
        <w:t xml:space="preserve"> </w:t>
      </w:r>
    </w:p>
    <w:p w14:paraId="0E1D4987" w14:textId="77777777" w:rsidR="00F62728" w:rsidRPr="00F62728" w:rsidRDefault="00F62728" w:rsidP="00F62728">
      <w:r w:rsidRPr="00F62728">
        <w:t xml:space="preserve">Data fra SOR og SOR-EDI, som minimum skal indlæses, er: </w:t>
      </w:r>
    </w:p>
    <w:p w14:paraId="149A7BEA" w14:textId="77777777" w:rsidR="00F62728" w:rsidRPr="00F62728" w:rsidRDefault="00F62728" w:rsidP="00F62728">
      <w:pPr>
        <w:pStyle w:val="Listeafsnit"/>
        <w:numPr>
          <w:ilvl w:val="0"/>
          <w:numId w:val="14"/>
        </w:numPr>
      </w:pPr>
      <w:r w:rsidRPr="00F62728">
        <w:t>Lokationsnummer og lokationsnummerstatus (egen/nedarvet)</w:t>
      </w:r>
    </w:p>
    <w:p w14:paraId="05907882" w14:textId="77777777" w:rsidR="00F62728" w:rsidRPr="00F62728" w:rsidRDefault="00F62728" w:rsidP="00F62728">
      <w:pPr>
        <w:pStyle w:val="Listeafsnit"/>
        <w:numPr>
          <w:ilvl w:val="0"/>
          <w:numId w:val="14"/>
        </w:numPr>
      </w:pPr>
      <w:r w:rsidRPr="00F62728">
        <w:t>Enhedens SOR-id</w:t>
      </w:r>
    </w:p>
    <w:p w14:paraId="126BC50F" w14:textId="77777777" w:rsidR="00F62728" w:rsidRPr="00F62728" w:rsidRDefault="00F62728" w:rsidP="00F62728">
      <w:pPr>
        <w:pStyle w:val="Listeafsnit"/>
        <w:numPr>
          <w:ilvl w:val="0"/>
          <w:numId w:val="14"/>
        </w:numPr>
      </w:pPr>
      <w:r w:rsidRPr="00F62728">
        <w:t>Enhedsnavn</w:t>
      </w:r>
    </w:p>
    <w:p w14:paraId="4B737BE8" w14:textId="77777777" w:rsidR="00F62728" w:rsidRPr="00F62728" w:rsidRDefault="00F62728" w:rsidP="00F62728">
      <w:pPr>
        <w:pStyle w:val="Listeafsnit"/>
        <w:numPr>
          <w:ilvl w:val="0"/>
          <w:numId w:val="14"/>
        </w:numPr>
      </w:pPr>
      <w:r w:rsidRPr="00F62728">
        <w:t>Enhedstype</w:t>
      </w:r>
    </w:p>
    <w:p w14:paraId="28655A9C" w14:textId="77777777" w:rsidR="00F62728" w:rsidRPr="00F62728" w:rsidRDefault="00F62728" w:rsidP="00F62728">
      <w:pPr>
        <w:pStyle w:val="Listeafsnit"/>
        <w:numPr>
          <w:ilvl w:val="0"/>
          <w:numId w:val="14"/>
        </w:numPr>
      </w:pPr>
      <w:r w:rsidRPr="00F62728">
        <w:t>Institutionsejer</w:t>
      </w:r>
    </w:p>
    <w:p w14:paraId="5351D8A7" w14:textId="77777777" w:rsidR="00F62728" w:rsidRPr="00F62728" w:rsidRDefault="00F62728" w:rsidP="00F62728">
      <w:pPr>
        <w:pStyle w:val="Listeafsnit"/>
        <w:numPr>
          <w:ilvl w:val="0"/>
          <w:numId w:val="14"/>
        </w:numPr>
      </w:pPr>
      <w:r w:rsidRPr="00F62728">
        <w:t>Specialekode</w:t>
      </w:r>
    </w:p>
    <w:p w14:paraId="05F17189" w14:textId="77777777" w:rsidR="00F62728" w:rsidRPr="00F62728" w:rsidRDefault="00F62728" w:rsidP="00F62728">
      <w:pPr>
        <w:pStyle w:val="Listeafsnit"/>
        <w:numPr>
          <w:ilvl w:val="0"/>
          <w:numId w:val="14"/>
        </w:numPr>
      </w:pPr>
      <w:r w:rsidRPr="00F62728">
        <w:t>Apoteksnummer, hvis findes</w:t>
      </w:r>
    </w:p>
    <w:p w14:paraId="1A9D59B5" w14:textId="77777777" w:rsidR="00F62728" w:rsidRPr="00F62728" w:rsidRDefault="00F62728" w:rsidP="00F62728">
      <w:pPr>
        <w:pStyle w:val="Listeafsnit"/>
        <w:numPr>
          <w:ilvl w:val="0"/>
          <w:numId w:val="14"/>
        </w:numPr>
      </w:pPr>
      <w:r w:rsidRPr="00F62728">
        <w:t>Ydernummer, hvis findes</w:t>
      </w:r>
    </w:p>
    <w:p w14:paraId="21872C6E" w14:textId="77777777" w:rsidR="00F62728" w:rsidRPr="00F62728" w:rsidRDefault="00F62728" w:rsidP="00F62728">
      <w:pPr>
        <w:pStyle w:val="Listeafsnit"/>
        <w:numPr>
          <w:ilvl w:val="0"/>
          <w:numId w:val="14"/>
        </w:numPr>
      </w:pPr>
      <w:r w:rsidRPr="00F62728">
        <w:t>Meddelelsestyper, indgående</w:t>
      </w:r>
    </w:p>
    <w:p w14:paraId="560B14FF" w14:textId="5B88BF74" w:rsidR="00B27171" w:rsidRDefault="00201334" w:rsidP="00C45586">
      <w:r>
        <w:t>Anvendelseskravet skal sikre</w:t>
      </w:r>
      <w:r w:rsidR="000D3EBA">
        <w:t>,</w:t>
      </w:r>
      <w:r>
        <w:t xml:space="preserve"> at alle parter anvender det samme datagrundlag ved adressering af MedCom</w:t>
      </w:r>
      <w:r w:rsidR="000D3EBA">
        <w:t>-</w:t>
      </w:r>
      <w:r>
        <w:t xml:space="preserve">meddelelser. </w:t>
      </w:r>
      <w:r w:rsidR="00B27171">
        <w:t xml:space="preserve"> </w:t>
      </w:r>
    </w:p>
    <w:p w14:paraId="6A49D718" w14:textId="77777777" w:rsidR="00F82F73" w:rsidRDefault="00F82F73" w:rsidP="00C45586"/>
    <w:p w14:paraId="42549293" w14:textId="52DA9255" w:rsidR="00C056A9" w:rsidRPr="001E45DE" w:rsidRDefault="001E45DE" w:rsidP="001E45DE">
      <w:pPr>
        <w:pStyle w:val="Overskrift2"/>
      </w:pPr>
      <w:bookmarkStart w:id="10" w:name="_Toc224030362"/>
      <w:bookmarkStart w:id="11" w:name="_Hlk214266680"/>
      <w:r w:rsidRPr="00C93864">
        <w:t xml:space="preserve">1.1 </w:t>
      </w:r>
      <w:r w:rsidR="00687A0D" w:rsidRPr="00C93864">
        <w:t>Test for anvendelseskrav 1</w:t>
      </w:r>
      <w:bookmarkEnd w:id="10"/>
      <w:r w:rsidR="00F62728">
        <w:t xml:space="preserve"> </w:t>
      </w:r>
    </w:p>
    <w:bookmarkEnd w:id="11"/>
    <w:p w14:paraId="47448148" w14:textId="1FC937AD" w:rsidR="003B0737" w:rsidRDefault="00B0128E" w:rsidP="00687A0D">
      <w:r>
        <w:t xml:space="preserve">It-systemet </w:t>
      </w:r>
      <w:r w:rsidR="002A2B0C">
        <w:t>dokumenterer</w:t>
      </w:r>
      <w:r w:rsidR="000D3EBA">
        <w:t>,</w:t>
      </w:r>
      <w:r w:rsidR="002A2B0C">
        <w:t xml:space="preserve"> </w:t>
      </w:r>
      <w:r w:rsidR="00201334">
        <w:t xml:space="preserve">at </w:t>
      </w:r>
      <w:r w:rsidR="00C82EF6">
        <w:t>pla</w:t>
      </w:r>
      <w:r w:rsidR="002A2B0C">
        <w:t xml:space="preserve">nlagt job til snitfladeopdatering </w:t>
      </w:r>
      <w:r w:rsidR="007C5FDD">
        <w:t>af</w:t>
      </w:r>
      <w:r w:rsidR="002A2B0C">
        <w:t xml:space="preserve"> </w:t>
      </w:r>
      <w:r w:rsidR="00595101">
        <w:t>SOR-udtræk</w:t>
      </w:r>
      <w:r w:rsidR="00492FD2">
        <w:t>, inkl. SOR-EDI</w:t>
      </w:r>
      <w:r w:rsidR="00CF505F">
        <w:t xml:space="preserve"> </w:t>
      </w:r>
      <w:r w:rsidR="00492FD2">
        <w:t>og pakketabel (for it-systemer</w:t>
      </w:r>
      <w:r w:rsidR="005153C3">
        <w:t>,</w:t>
      </w:r>
      <w:r w:rsidR="00492FD2">
        <w:t xml:space="preserve"> som anvender pakkehenvisning), </w:t>
      </w:r>
      <w:r w:rsidR="00201334">
        <w:t xml:space="preserve">sker dagligt. </w:t>
      </w:r>
    </w:p>
    <w:p w14:paraId="0CE51327" w14:textId="1CC6E424" w:rsidR="00201334" w:rsidRDefault="00D7244C" w:rsidP="00687A0D">
      <w:r>
        <w:t>Log for s</w:t>
      </w:r>
      <w:r w:rsidR="00201334">
        <w:t xml:space="preserve">nitfladeopdatering er synlig </w:t>
      </w:r>
      <w:r>
        <w:t xml:space="preserve">med visning </w:t>
      </w:r>
      <w:r w:rsidR="00201334">
        <w:t xml:space="preserve">af dato og klokkeslæt. Det gælder også for lokale systemadministratorer </w:t>
      </w:r>
      <w:r>
        <w:t xml:space="preserve">i </w:t>
      </w:r>
      <w:r w:rsidR="00201334">
        <w:t>kommuner.</w:t>
      </w:r>
    </w:p>
    <w:p w14:paraId="7F8DFA23" w14:textId="601008D8" w:rsidR="00687A0D" w:rsidRDefault="00595101" w:rsidP="00687A0D">
      <w:r>
        <w:t>It-systemet viser</w:t>
      </w:r>
      <w:r w:rsidR="008B091A">
        <w:t>,</w:t>
      </w:r>
      <w:r>
        <w:t xml:space="preserve"> at </w:t>
      </w:r>
      <w:r w:rsidR="00677A49">
        <w:t xml:space="preserve">nyeste udtræk </w:t>
      </w:r>
      <w:r w:rsidR="008B091A">
        <w:t>af</w:t>
      </w:r>
      <w:r w:rsidR="00677A49">
        <w:t xml:space="preserve"> SOR er tilgængeligt </w:t>
      </w:r>
      <w:r w:rsidR="00D974CF">
        <w:t>ved manu</w:t>
      </w:r>
      <w:r w:rsidR="008B091A">
        <w:t>e</w:t>
      </w:r>
      <w:r w:rsidR="00D974CF">
        <w:t xml:space="preserve">lt valg af modtager i </w:t>
      </w:r>
      <w:r w:rsidR="00F833EF">
        <w:t>brugergrænseflade</w:t>
      </w:r>
      <w:r w:rsidR="00D974CF">
        <w:t xml:space="preserve">. </w:t>
      </w:r>
      <w:r w:rsidR="00205C04">
        <w:t xml:space="preserve"> </w:t>
      </w:r>
    </w:p>
    <w:p w14:paraId="4285BBAC" w14:textId="77777777" w:rsidR="00F62728" w:rsidRDefault="00F62728" w:rsidP="00F62728">
      <w:r w:rsidRPr="00F62728">
        <w:t>It-systemet viser at minimumsdata for SOR og SOR-EDI er indlæst.</w:t>
      </w:r>
    </w:p>
    <w:p w14:paraId="1F607444" w14:textId="5BDF6670" w:rsidR="00A91535" w:rsidRDefault="00A91535" w:rsidP="00F82F73">
      <w:pPr>
        <w:pStyle w:val="Overskrift1"/>
        <w:numPr>
          <w:ilvl w:val="0"/>
          <w:numId w:val="5"/>
        </w:numPr>
        <w:jc w:val="both"/>
      </w:pPr>
      <w:bookmarkStart w:id="12" w:name="_Toc224030363"/>
      <w:r>
        <w:t>Anvendelseskrav</w:t>
      </w:r>
      <w:r w:rsidR="0030600E">
        <w:t xml:space="preserve"> </w:t>
      </w:r>
      <w:r>
        <w:t>2</w:t>
      </w:r>
      <w:r w:rsidR="005512D4">
        <w:t>:</w:t>
      </w:r>
      <w:r w:rsidR="00601334">
        <w:t xml:space="preserve"> </w:t>
      </w:r>
      <w:r w:rsidR="00320CC9">
        <w:t>Inaktive lokationsnumre</w:t>
      </w:r>
      <w:bookmarkEnd w:id="12"/>
    </w:p>
    <w:p w14:paraId="0D54BB4F" w14:textId="77777777" w:rsidR="00DC70AA" w:rsidRDefault="00A91535" w:rsidP="0066782C">
      <w:r>
        <w:t>It-systemet skal ikke kunne sende meddelelser til inaktive lokationsnumre</w:t>
      </w:r>
      <w:r w:rsidR="00BC0A33">
        <w:t>, dvs. lokationsnumre med lokationsnummerstatus ’ikke aktiv’ og ’ikke aktivt – kun internt’</w:t>
      </w:r>
      <w:r>
        <w:t xml:space="preserve">. </w:t>
      </w:r>
    </w:p>
    <w:p w14:paraId="4E0061F8" w14:textId="371C15AE" w:rsidR="0066782C" w:rsidRDefault="0066782C" w:rsidP="0066782C">
      <w:r>
        <w:t>It-systemet skal ikke kunne afsende meddelelser fra lokationsnumre, som er inaktiv</w:t>
      </w:r>
      <w:r w:rsidR="008B091A">
        <w:t>e</w:t>
      </w:r>
      <w:r>
        <w:t xml:space="preserve"> i SOR. </w:t>
      </w:r>
    </w:p>
    <w:p w14:paraId="513B23D8" w14:textId="6D3B214F" w:rsidR="00D5062D" w:rsidRPr="001E45DE" w:rsidRDefault="00D5062D" w:rsidP="00D5062D">
      <w:pPr>
        <w:pStyle w:val="Overskrift2"/>
      </w:pPr>
      <w:bookmarkStart w:id="13" w:name="_Toc224030364"/>
      <w:r>
        <w:lastRenderedPageBreak/>
        <w:t xml:space="preserve">2.1 </w:t>
      </w:r>
      <w:r w:rsidRPr="001E45DE">
        <w:t xml:space="preserve">Test for anvendelseskrav </w:t>
      </w:r>
      <w:r>
        <w:t>2</w:t>
      </w:r>
      <w:bookmarkEnd w:id="13"/>
    </w:p>
    <w:p w14:paraId="351527C6" w14:textId="5A7474E4" w:rsidR="0066782C" w:rsidRDefault="006F4573" w:rsidP="0066782C">
      <w:r>
        <w:t>Vis</w:t>
      </w:r>
      <w:r w:rsidR="008B091A">
        <w:t>,</w:t>
      </w:r>
      <w:r>
        <w:t xml:space="preserve"> at det ikke er muligt at sende </w:t>
      </w:r>
      <w:r w:rsidR="009144BA">
        <w:t xml:space="preserve">en </w:t>
      </w:r>
      <w:r>
        <w:t xml:space="preserve">meddelelse til et lokationsnummer, som er inaktivt. </w:t>
      </w:r>
      <w:r w:rsidR="000571D5" w:rsidRPr="000571D5">
        <w:t>Dette gælder både ved manuel fremsøgning af modtager, ved automatisk valg af modtager og ved valg af en modtager, der allerede er gemt som favorit.</w:t>
      </w:r>
    </w:p>
    <w:p w14:paraId="1D6F717F" w14:textId="5CE11EBB" w:rsidR="0066782C" w:rsidRDefault="0066782C" w:rsidP="0066782C">
      <w:r>
        <w:t>Vis</w:t>
      </w:r>
      <w:r w:rsidR="008B091A">
        <w:t>,</w:t>
      </w:r>
      <w:r>
        <w:t xml:space="preserve"> at det ikke er muligt at afsende meddelelse fra et lokationsnummer, som er inaktivt i SOR. </w:t>
      </w:r>
    </w:p>
    <w:p w14:paraId="54432083" w14:textId="2399AA45" w:rsidR="005F2DC8" w:rsidRDefault="009144BA" w:rsidP="00F82F73">
      <w:pPr>
        <w:pStyle w:val="Overskrift1"/>
        <w:numPr>
          <w:ilvl w:val="0"/>
          <w:numId w:val="5"/>
        </w:numPr>
        <w:jc w:val="both"/>
      </w:pPr>
      <w:bookmarkStart w:id="14" w:name="_Toc224030365"/>
      <w:r>
        <w:t xml:space="preserve">Anvendelseskrav </w:t>
      </w:r>
      <w:r w:rsidR="00FC0917">
        <w:t>3</w:t>
      </w:r>
      <w:r w:rsidR="00FE378A">
        <w:t>:</w:t>
      </w:r>
      <w:r>
        <w:t xml:space="preserve"> </w:t>
      </w:r>
      <w:r w:rsidR="00601334">
        <w:t>Anvend status for</w:t>
      </w:r>
      <w:r w:rsidR="005F2DC8">
        <w:t xml:space="preserve"> lokationsnumre</w:t>
      </w:r>
      <w:bookmarkEnd w:id="14"/>
      <w:r w:rsidR="005F2DC8">
        <w:t xml:space="preserve"> </w:t>
      </w:r>
    </w:p>
    <w:p w14:paraId="7FE86B88" w14:textId="2BE1F155" w:rsidR="004F302B" w:rsidRDefault="00AC23AC" w:rsidP="00E92BB7">
      <w:r>
        <w:t>I kommunerne anvendes i forskelligt omfang nedarvning af lokationsnummer til mange organisatoriske enheder</w:t>
      </w:r>
      <w:r w:rsidRPr="00F62728">
        <w:t xml:space="preserve">. </w:t>
      </w:r>
      <w:r w:rsidR="004F302B" w:rsidRPr="00F62728">
        <w:t xml:space="preserve">For </w:t>
      </w:r>
      <w:r w:rsidR="003F0BF2" w:rsidRPr="00F62728">
        <w:t xml:space="preserve">systemer, der sender meddelelser til kommuner, er det nødvendigt at systemet teknisk kan skelne </w:t>
      </w:r>
      <w:r w:rsidR="004F302B" w:rsidRPr="00F62728">
        <w:t>mellem</w:t>
      </w:r>
      <w:r w:rsidR="005153C3" w:rsidRPr="00F62728">
        <w:t>,</w:t>
      </w:r>
      <w:r w:rsidR="004F302B" w:rsidRPr="00F62728">
        <w:t xml:space="preserve"> om lokationsnummeret har status ”egen” eller ”nedarvet” for at begrænse det mulige valg af modtagere, når en meddelelse skal afsendes.</w:t>
      </w:r>
      <w:r w:rsidR="004F302B">
        <w:t xml:space="preserve"> </w:t>
      </w:r>
    </w:p>
    <w:p w14:paraId="655C0A97" w14:textId="402C9798" w:rsidR="00410432" w:rsidRDefault="00410432" w:rsidP="00E92BB7">
      <w:r>
        <w:t xml:space="preserve">Meddelelserne sendes </w:t>
      </w:r>
      <w:r w:rsidR="004F302B">
        <w:t xml:space="preserve">som udgangspunkt </w:t>
      </w:r>
      <w:r>
        <w:t xml:space="preserve">til den SOR-enhed med lokationsnummer, hvor lokationsnummer </w:t>
      </w:r>
      <w:r w:rsidR="00A313F8">
        <w:t>har status</w:t>
      </w:r>
      <w:r>
        <w:t xml:space="preserve"> ”egen”.</w:t>
      </w:r>
      <w:r w:rsidR="004F302B">
        <w:t xml:space="preserve"> </w:t>
      </w:r>
    </w:p>
    <w:p w14:paraId="353F4155" w14:textId="4B28C751" w:rsidR="004F302B" w:rsidRDefault="004F302B" w:rsidP="00E92BB7">
      <w:r>
        <w:t>Ved besvar-funktionalitet sendes til den SOR-enhed, som har afsendt meddelelsen</w:t>
      </w:r>
      <w:r w:rsidR="005153C3">
        <w:t>,</w:t>
      </w:r>
      <w:r>
        <w:t xml:space="preserve"> og her skelnes ikke mellem status </w:t>
      </w:r>
      <w:r w:rsidR="00AD2562">
        <w:t xml:space="preserve">(egen/nedarvet) </w:t>
      </w:r>
      <w:r>
        <w:t xml:space="preserve">for lokationsnummer, men det er påkrævet at enheden har tilknyttet et lokationsnummer. </w:t>
      </w:r>
    </w:p>
    <w:p w14:paraId="53807CB8" w14:textId="295EFDB9" w:rsidR="00197FC8" w:rsidRPr="001E45DE" w:rsidRDefault="001C4037" w:rsidP="00197FC8">
      <w:pPr>
        <w:pStyle w:val="Overskrift2"/>
      </w:pPr>
      <w:bookmarkStart w:id="15" w:name="_Toc224030366"/>
      <w:r>
        <w:t>3</w:t>
      </w:r>
      <w:r w:rsidR="00197FC8">
        <w:t xml:space="preserve">.1 </w:t>
      </w:r>
      <w:r w:rsidR="00197FC8" w:rsidRPr="001E45DE">
        <w:t xml:space="preserve">Test for anvendelseskrav </w:t>
      </w:r>
      <w:r>
        <w:t>3</w:t>
      </w:r>
      <w:bookmarkEnd w:id="15"/>
    </w:p>
    <w:p w14:paraId="2CE481B3" w14:textId="002570EE" w:rsidR="005B6507" w:rsidRPr="00A03D20" w:rsidRDefault="00197FC8" w:rsidP="00197FC8">
      <w:r>
        <w:t>Vis</w:t>
      </w:r>
      <w:r w:rsidR="008B091A">
        <w:t>,</w:t>
      </w:r>
      <w:r>
        <w:t xml:space="preserve"> at it-systemet </w:t>
      </w:r>
      <w:r w:rsidR="001F3F03">
        <w:t xml:space="preserve">i standardopsætning </w:t>
      </w:r>
      <w:r>
        <w:t xml:space="preserve">kan </w:t>
      </w:r>
      <w:r w:rsidR="00D62865">
        <w:t>indsætte modtager</w:t>
      </w:r>
      <w:r w:rsidR="00CE2260">
        <w:t xml:space="preserve"> med </w:t>
      </w:r>
      <w:r>
        <w:t xml:space="preserve">lokationsnummerstatus ”egen” </w:t>
      </w:r>
      <w:r w:rsidR="00CE2260">
        <w:t xml:space="preserve">fremfor </w:t>
      </w:r>
      <w:r>
        <w:t>”nedarvet”</w:t>
      </w:r>
      <w:r w:rsidR="003C30DF">
        <w:t xml:space="preserve"> ved afsendelse af en </w:t>
      </w:r>
      <w:r w:rsidR="003F0BF2" w:rsidRPr="00F62728">
        <w:t>ny</w:t>
      </w:r>
      <w:r w:rsidR="003F0BF2">
        <w:t xml:space="preserve"> </w:t>
      </w:r>
      <w:r w:rsidR="00B21E9E">
        <w:t>meddelelse til en</w:t>
      </w:r>
      <w:r w:rsidR="003C30DF">
        <w:t xml:space="preserve"> kommune</w:t>
      </w:r>
      <w:r w:rsidR="00C71CF6">
        <w:t>. F.eks.</w:t>
      </w:r>
      <w:r w:rsidR="00C71CF6">
        <w:t xml:space="preserve"> fast opsat modtager af genoptræningsplan, hvor det er lokationsnummer med status egen, som er valgt</w:t>
      </w:r>
      <w:r w:rsidR="00B21E9E">
        <w:t>.</w:t>
      </w:r>
      <w:r w:rsidR="003C30DF">
        <w:t xml:space="preserve"> </w:t>
      </w:r>
    </w:p>
    <w:p w14:paraId="0BBDB545" w14:textId="223A284A" w:rsidR="005B6507" w:rsidRDefault="005B6507" w:rsidP="00197FC8">
      <w:r>
        <w:t>Vis i brugergrænseflade</w:t>
      </w:r>
      <w:r w:rsidR="00F06F56">
        <w:t xml:space="preserve">, </w:t>
      </w:r>
      <w:r w:rsidR="00C71CF6">
        <w:t xml:space="preserve">at </w:t>
      </w:r>
      <w:r w:rsidR="00F06F56">
        <w:t>når en bruger</w:t>
      </w:r>
      <w:r w:rsidR="00865A7C">
        <w:t xml:space="preserve"> manuelt</w:t>
      </w:r>
      <w:r w:rsidR="00F06F56">
        <w:t xml:space="preserve"> fremsøger en modtager af en meddelelse </w:t>
      </w:r>
      <w:r w:rsidR="00882581">
        <w:t xml:space="preserve">til en </w:t>
      </w:r>
      <w:r w:rsidR="00F06F56">
        <w:t>kommune</w:t>
      </w:r>
      <w:r w:rsidR="00865A7C">
        <w:t>, at b</w:t>
      </w:r>
      <w:r w:rsidR="00FB3970">
        <w:t>ruger præsenteres for den modtager, som har lokationsnummer med status egen</w:t>
      </w:r>
      <w:r w:rsidR="009120D1">
        <w:t>.</w:t>
      </w:r>
    </w:p>
    <w:p w14:paraId="79B92861" w14:textId="32353356" w:rsidR="00F318AD" w:rsidRDefault="002F3B27" w:rsidP="00197FC8">
      <w:r>
        <w:t>Vis</w:t>
      </w:r>
      <w:r w:rsidR="00C60EA4">
        <w:t>,</w:t>
      </w:r>
      <w:r>
        <w:t xml:space="preserve"> at besvar</w:t>
      </w:r>
      <w:r w:rsidR="009F1BD5">
        <w:t>else</w:t>
      </w:r>
      <w:r>
        <w:t xml:space="preserve"> af </w:t>
      </w:r>
      <w:r w:rsidR="00D30F64">
        <w:t>en MedCom</w:t>
      </w:r>
      <w:r w:rsidR="00C60EA4">
        <w:t>-</w:t>
      </w:r>
      <w:r w:rsidR="00D30F64">
        <w:t>meddelelse</w:t>
      </w:r>
      <w:r w:rsidR="00811001">
        <w:t xml:space="preserve"> </w:t>
      </w:r>
      <w:r w:rsidR="00D30F64">
        <w:t xml:space="preserve">fra en SOR-enhed med nedarvet lokationsnummer, </w:t>
      </w:r>
      <w:r>
        <w:t xml:space="preserve">sendes til </w:t>
      </w:r>
      <w:r w:rsidR="00811001">
        <w:t>SOR-enheden med det nedarvede lokationsnummer</w:t>
      </w:r>
      <w:r>
        <w:t>.</w:t>
      </w:r>
    </w:p>
    <w:p w14:paraId="349F3C29" w14:textId="15E55A75" w:rsidR="00295E31" w:rsidRDefault="00295E31" w:rsidP="00747B4F">
      <w:pPr>
        <w:pStyle w:val="Overskrift1"/>
        <w:numPr>
          <w:ilvl w:val="0"/>
          <w:numId w:val="5"/>
        </w:numPr>
        <w:jc w:val="both"/>
      </w:pPr>
      <w:bookmarkStart w:id="16" w:name="_Toc224030367"/>
      <w:r>
        <w:t>Anvendelseskrav 4: SOR-</w:t>
      </w:r>
      <w:proofErr w:type="spellStart"/>
      <w:r>
        <w:t>identifier</w:t>
      </w:r>
      <w:bookmarkEnd w:id="16"/>
      <w:proofErr w:type="spellEnd"/>
    </w:p>
    <w:p w14:paraId="1BE4F279" w14:textId="4CC3CEE4" w:rsidR="00C314A6" w:rsidRDefault="00C314A6" w:rsidP="00C314A6">
      <w:r>
        <w:t xml:space="preserve">Hvis der anvendes SOR-kode som </w:t>
      </w:r>
      <w:proofErr w:type="spellStart"/>
      <w:r>
        <w:t>kvalifikator</w:t>
      </w:r>
      <w:proofErr w:type="spellEnd"/>
      <w:r>
        <w:t xml:space="preserve"> for afsender i en MedCom-meddelelse, skal den SOR-kode, som anvendes, være knyttet til et lokationsnummer i SOR, enten med </w:t>
      </w:r>
      <w:r w:rsidR="009E5FB9">
        <w:t>nedarvnings</w:t>
      </w:r>
      <w:r>
        <w:t xml:space="preserve">status </w:t>
      </w:r>
      <w:r w:rsidR="00EB0ACF">
        <w:t>’</w:t>
      </w:r>
      <w:r>
        <w:t>egen</w:t>
      </w:r>
      <w:r w:rsidR="00EB0ACF">
        <w:t>’</w:t>
      </w:r>
      <w:r>
        <w:t xml:space="preserve"> eller </w:t>
      </w:r>
      <w:r w:rsidR="00EB0ACF">
        <w:t>’</w:t>
      </w:r>
      <w:r>
        <w:t>nedarvet</w:t>
      </w:r>
      <w:r w:rsidR="00EB0ACF">
        <w:t>’</w:t>
      </w:r>
      <w:r>
        <w:t xml:space="preserve">.  </w:t>
      </w:r>
    </w:p>
    <w:p w14:paraId="0D4918AE" w14:textId="31537832" w:rsidR="00C314A6" w:rsidRDefault="00C314A6" w:rsidP="00C314A6">
      <w:pPr>
        <w:pStyle w:val="Overskrift2"/>
      </w:pPr>
      <w:bookmarkStart w:id="17" w:name="_Toc224030368"/>
      <w:r>
        <w:t xml:space="preserve">4.1 </w:t>
      </w:r>
      <w:r w:rsidRPr="001E45DE">
        <w:t xml:space="preserve">Test for anvendelseskrav </w:t>
      </w:r>
      <w:r>
        <w:t>4</w:t>
      </w:r>
      <w:bookmarkEnd w:id="17"/>
    </w:p>
    <w:p w14:paraId="557A6C60" w14:textId="47427767" w:rsidR="00C314A6" w:rsidRPr="00C314A6" w:rsidRDefault="00C314A6" w:rsidP="00C314A6">
      <w:r>
        <w:t>Vis</w:t>
      </w:r>
      <w:r w:rsidR="00EF5796">
        <w:t>,</w:t>
      </w:r>
      <w:r>
        <w:t xml:space="preserve"> at it-systemet understøtter brug af SOR-</w:t>
      </w:r>
      <w:proofErr w:type="spellStart"/>
      <w:r>
        <w:t>identifier</w:t>
      </w:r>
      <w:proofErr w:type="spellEnd"/>
      <w:r>
        <w:t>, som er knyttet til et lokationsnummer (status egen eller nedarvet)</w:t>
      </w:r>
      <w:r w:rsidR="00EF5796">
        <w:t>.</w:t>
      </w:r>
    </w:p>
    <w:p w14:paraId="63FEDC11" w14:textId="24FC01A7" w:rsidR="005C5556" w:rsidRDefault="00595101" w:rsidP="00747B4F">
      <w:pPr>
        <w:pStyle w:val="Overskrift1"/>
        <w:numPr>
          <w:ilvl w:val="0"/>
          <w:numId w:val="5"/>
        </w:numPr>
        <w:jc w:val="both"/>
      </w:pPr>
      <w:bookmarkStart w:id="18" w:name="_Toc224030369"/>
      <w:r>
        <w:lastRenderedPageBreak/>
        <w:t>Anvendelseskrav</w:t>
      </w:r>
      <w:r w:rsidR="005C5556">
        <w:t xml:space="preserve"> </w:t>
      </w:r>
      <w:r w:rsidR="00295E31">
        <w:t>5</w:t>
      </w:r>
      <w:r w:rsidR="005F09B1">
        <w:t xml:space="preserve">: </w:t>
      </w:r>
      <w:r w:rsidR="00724A31">
        <w:t xml:space="preserve">Validering af </w:t>
      </w:r>
      <w:r w:rsidR="005025B9">
        <w:t>meddelelsestype</w:t>
      </w:r>
      <w:bookmarkEnd w:id="18"/>
    </w:p>
    <w:p w14:paraId="54010166" w14:textId="78AFE270" w:rsidR="008F1597" w:rsidRDefault="005025B9" w:rsidP="004000F8">
      <w:r>
        <w:t>It-systemet skal validere for hvilken standard</w:t>
      </w:r>
      <w:r w:rsidR="008F50A7">
        <w:t>type</w:t>
      </w:r>
      <w:r>
        <w:t xml:space="preserve">, </w:t>
      </w:r>
      <w:r w:rsidR="00277800">
        <w:t xml:space="preserve">et givent lokationsnummer er opsat til at kunne </w:t>
      </w:r>
      <w:r w:rsidR="00277800" w:rsidRPr="00F62728">
        <w:t>modtage</w:t>
      </w:r>
      <w:r w:rsidR="003F0BF2" w:rsidRPr="00F62728">
        <w:t xml:space="preserve"> i SOR-EDI</w:t>
      </w:r>
      <w:r w:rsidR="00277800" w:rsidRPr="00F62728">
        <w:t xml:space="preserve">. </w:t>
      </w:r>
      <w:r w:rsidR="007C53C2" w:rsidRPr="00F62728">
        <w:t>Der skal ikke kunne afsendes en meddelelsestype til en modtager, som ikke er registreret til at kunne modtage</w:t>
      </w:r>
      <w:r w:rsidR="006B10B5" w:rsidRPr="00F62728">
        <w:t xml:space="preserve"> meddelelsestypen</w:t>
      </w:r>
      <w:r w:rsidR="003F0BF2" w:rsidRPr="00F62728">
        <w:t xml:space="preserve"> i SOR-EDI</w:t>
      </w:r>
      <w:r w:rsidR="007C53C2" w:rsidRPr="00F62728">
        <w:t>.</w:t>
      </w:r>
      <w:r w:rsidR="007C53C2">
        <w:t xml:space="preserve"> </w:t>
      </w:r>
    </w:p>
    <w:p w14:paraId="43199D59" w14:textId="7CCB94C0" w:rsidR="004000F8" w:rsidRDefault="00A3180C" w:rsidP="004000F8">
      <w:r>
        <w:t xml:space="preserve">Jf. regelsæt for registrering af </w:t>
      </w:r>
      <w:r w:rsidR="00431980">
        <w:t>format, skal</w:t>
      </w:r>
      <w:r>
        <w:t xml:space="preserve"> det</w:t>
      </w:r>
      <w:r w:rsidR="008F1597">
        <w:t xml:space="preserve"> meddelelses</w:t>
      </w:r>
      <w:r>
        <w:t>format</w:t>
      </w:r>
      <w:r w:rsidR="00EF5796">
        <w:t>,</w:t>
      </w:r>
      <w:r>
        <w:t xml:space="preserve"> et it-system er godkendt til</w:t>
      </w:r>
      <w:r w:rsidR="00EF5796">
        <w:t>,</w:t>
      </w:r>
      <w:r>
        <w:t xml:space="preserve"> og som lokationsnummeret anvender i drift</w:t>
      </w:r>
      <w:r w:rsidR="00B908EF">
        <w:t>,</w:t>
      </w:r>
      <w:r>
        <w:t xml:space="preserve"> registreres</w:t>
      </w:r>
      <w:r w:rsidR="00B908EF">
        <w:t xml:space="preserve"> i SOR</w:t>
      </w:r>
      <w:r>
        <w:t>. De</w:t>
      </w:r>
      <w:r w:rsidR="00B908EF">
        <w:t xml:space="preserve">t </w:t>
      </w:r>
      <w:r>
        <w:t xml:space="preserve">skal være muligt at afsende meddelelsestypen, selvom modtager anvender et andet format. Der anvendes </w:t>
      </w:r>
      <w:r w:rsidR="00431980">
        <w:t>derfor følgende</w:t>
      </w:r>
      <w:r w:rsidR="004000F8">
        <w:t xml:space="preserve"> regel for validering af format ved afsendelse: </w:t>
      </w:r>
    </w:p>
    <w:p w14:paraId="48B63008" w14:textId="77777777" w:rsidR="004000F8" w:rsidRDefault="004000F8" w:rsidP="004000F8">
      <w:r>
        <w:t xml:space="preserve">Hvis et it-system kan afsende i flere formater, vælges det højeste format, hvis modtagerlokationsnummeret har registreret flere meddelelsesformater som indgående. Formatrækkefølgen er: </w:t>
      </w:r>
    </w:p>
    <w:p w14:paraId="105D6E70" w14:textId="77777777" w:rsidR="004000F8" w:rsidRDefault="004000F8" w:rsidP="004000F8">
      <w:pPr>
        <w:pStyle w:val="Listeafsnit"/>
        <w:numPr>
          <w:ilvl w:val="0"/>
          <w:numId w:val="7"/>
        </w:numPr>
      </w:pPr>
      <w:r>
        <w:t>FHIR (højeste)</w:t>
      </w:r>
    </w:p>
    <w:p w14:paraId="6B6275C2" w14:textId="77777777" w:rsidR="004000F8" w:rsidRDefault="004000F8" w:rsidP="004000F8">
      <w:pPr>
        <w:pStyle w:val="Listeafsnit"/>
        <w:numPr>
          <w:ilvl w:val="0"/>
          <w:numId w:val="7"/>
        </w:numPr>
      </w:pPr>
      <w:r>
        <w:t>XML</w:t>
      </w:r>
    </w:p>
    <w:p w14:paraId="3B4C80B9" w14:textId="77777777" w:rsidR="004000F8" w:rsidRDefault="004000F8" w:rsidP="004000F8">
      <w:pPr>
        <w:pStyle w:val="Listeafsnit"/>
        <w:numPr>
          <w:ilvl w:val="0"/>
          <w:numId w:val="7"/>
        </w:numPr>
      </w:pPr>
      <w:r>
        <w:t>EDI (laveste)</w:t>
      </w:r>
    </w:p>
    <w:p w14:paraId="00F30CC2" w14:textId="77777777" w:rsidR="004000F8" w:rsidRDefault="004000F8" w:rsidP="004000F8">
      <w:r>
        <w:t xml:space="preserve">Hvis it-systemet kun kan afsende i XML: EDI-formatet læses som ækvivalent med XML-formatet for samme meddelelsestype. For korrespondancemeddelelsen gælder det også for FDIS91. </w:t>
      </w:r>
    </w:p>
    <w:p w14:paraId="073D0FE6" w14:textId="77777777" w:rsidR="004000F8" w:rsidRDefault="004000F8" w:rsidP="004000F8">
      <w:r>
        <w:t xml:space="preserve">Hvis it-systemet kun kan afsende EDI: XML-formatet læses som ækvivalent med EDI-formatet for samme meddelelsestype. For korrespondancemeddelelsen gælder det også for FDIS91. </w:t>
      </w:r>
    </w:p>
    <w:p w14:paraId="3574F220" w14:textId="51AE7328" w:rsidR="007C53C2" w:rsidRPr="005025B9" w:rsidRDefault="004000F8" w:rsidP="005025B9">
      <w:r>
        <w:t>Hvis it-systemet kun kan afsende i FHIR: EDI- og XML-formatet læses som ækvivalent for FHIR-formatet.</w:t>
      </w:r>
    </w:p>
    <w:p w14:paraId="7AEAC0BF" w14:textId="39BAE6C5" w:rsidR="005C5556" w:rsidRPr="001E45DE" w:rsidRDefault="00295E31" w:rsidP="005C5556">
      <w:pPr>
        <w:pStyle w:val="Overskrift2"/>
      </w:pPr>
      <w:bookmarkStart w:id="19" w:name="_Toc224030370"/>
      <w:r>
        <w:t>5</w:t>
      </w:r>
      <w:r w:rsidR="005C5556">
        <w:t xml:space="preserve">.1 </w:t>
      </w:r>
      <w:r w:rsidR="005C5556" w:rsidRPr="001E45DE">
        <w:t xml:space="preserve">Test for anvendelseskrav </w:t>
      </w:r>
      <w:r>
        <w:t>5</w:t>
      </w:r>
      <w:bookmarkEnd w:id="19"/>
    </w:p>
    <w:p w14:paraId="380CBFB1" w14:textId="21A2B41B" w:rsidR="005C5556" w:rsidRDefault="001B77BB" w:rsidP="005C5556">
      <w:r>
        <w:t>I</w:t>
      </w:r>
      <w:r w:rsidR="00FD4263">
        <w:t>t</w:t>
      </w:r>
      <w:r>
        <w:t xml:space="preserve">-systemet </w:t>
      </w:r>
      <w:r w:rsidR="00FD4263">
        <w:t>viser</w:t>
      </w:r>
      <w:r w:rsidR="00EF5796">
        <w:t>,</w:t>
      </w:r>
      <w:r w:rsidR="00FD4263">
        <w:t xml:space="preserve"> at der ikke kan </w:t>
      </w:r>
      <w:r w:rsidR="009C7BE7">
        <w:t>af</w:t>
      </w:r>
      <w:r w:rsidR="00FD4263">
        <w:t xml:space="preserve">sendes X meddelelse til X lokationsnummer, som ikke har meddelelsestypen registreret som indgående meddelelse. </w:t>
      </w:r>
    </w:p>
    <w:p w14:paraId="32C93592" w14:textId="7D957F6B" w:rsidR="009C7BE7" w:rsidRPr="00687A0D" w:rsidRDefault="009C7BE7" w:rsidP="005C5556">
      <w:r>
        <w:t>It-systemet viser</w:t>
      </w:r>
      <w:r w:rsidR="00EF5796">
        <w:t>,</w:t>
      </w:r>
      <w:r>
        <w:t xml:space="preserve"> at der kan afsendes </w:t>
      </w:r>
      <w:r w:rsidR="008374D2">
        <w:t>ækvivalente med</w:t>
      </w:r>
      <w:r>
        <w:t>delelsestype</w:t>
      </w:r>
      <w:r w:rsidR="008374D2">
        <w:t>r</w:t>
      </w:r>
      <w:r w:rsidR="00D1434B">
        <w:t xml:space="preserve">. </w:t>
      </w:r>
      <w:r w:rsidR="00C34E88">
        <w:t xml:space="preserve"> </w:t>
      </w:r>
    </w:p>
    <w:p w14:paraId="6C685DFE" w14:textId="77777777" w:rsidR="005C5556" w:rsidRPr="005C5556" w:rsidRDefault="005C5556" w:rsidP="005C5556"/>
    <w:p w14:paraId="01B28FCA" w14:textId="2E07B65E" w:rsidR="004E4BE3" w:rsidRDefault="004E4BE3" w:rsidP="00F82F73">
      <w:pPr>
        <w:pStyle w:val="Overskrift1"/>
        <w:numPr>
          <w:ilvl w:val="0"/>
          <w:numId w:val="5"/>
        </w:numPr>
      </w:pPr>
      <w:bookmarkStart w:id="20" w:name="_Toc224030371"/>
      <w:r>
        <w:t xml:space="preserve">Anvendelseskrav </w:t>
      </w:r>
      <w:r w:rsidR="00295E31">
        <w:t>6</w:t>
      </w:r>
      <w:r w:rsidR="001A572F">
        <w:t xml:space="preserve">: </w:t>
      </w:r>
      <w:r w:rsidR="009E1751">
        <w:t>Visning af enhed</w:t>
      </w:r>
      <w:bookmarkEnd w:id="20"/>
      <w:r w:rsidR="001A572F">
        <w:t xml:space="preserve"> </w:t>
      </w:r>
    </w:p>
    <w:p w14:paraId="1FBD3160" w14:textId="317A9285" w:rsidR="002C05C1" w:rsidRDefault="002C05C1" w:rsidP="0047628D">
      <w:r>
        <w:t xml:space="preserve">Formålet med anvendelseskrav 6 er, at bruger tydeligt kan se relevante oplysninger, når der fremsøges en modtager. Det skal </w:t>
      </w:r>
      <w:r w:rsidR="0047628D">
        <w:t xml:space="preserve">således </w:t>
      </w:r>
      <w:r>
        <w:t xml:space="preserve">ikke være påkrævet, at kommunenavn skal indgå i navngivning af enheden i SOR. Ligeledes skal det ikke være påkrævet, at hospitals-/sygehusnavn skal indgå i navnet på enheden. </w:t>
      </w:r>
    </w:p>
    <w:p w14:paraId="19528CA5" w14:textId="292DBE09" w:rsidR="002C05C1" w:rsidRDefault="002C05C1" w:rsidP="002C05C1">
      <w:pPr>
        <w:jc w:val="both"/>
      </w:pPr>
      <w:r>
        <w:t xml:space="preserve">It-systemet skal vise og anvende det navn, som SOR-enheden med lokationsnummer er navngivet i SOR. </w:t>
      </w:r>
      <w:r w:rsidR="00CB1133">
        <w:t>Der må</w:t>
      </w:r>
      <w:r w:rsidR="00E90BAA">
        <w:t xml:space="preserve"> </w:t>
      </w:r>
      <w:r>
        <w:t xml:space="preserve">ikke anvendes lokalt oprettede navne, som ikke svarer til navngivningen i SOR. </w:t>
      </w:r>
    </w:p>
    <w:p w14:paraId="373097DD" w14:textId="771B6D52" w:rsidR="00823714" w:rsidRDefault="009E5FB9" w:rsidP="000E0272">
      <w:r>
        <w:t>It-systemet skal</w:t>
      </w:r>
      <w:r w:rsidR="002C05C1">
        <w:t xml:space="preserve"> sammensætte data fra andre niveauer i SOR, så kommunenavn og hospitals-</w:t>
      </w:r>
      <w:r w:rsidR="00592CAE">
        <w:t>/</w:t>
      </w:r>
      <w:r w:rsidR="002C05C1">
        <w:t xml:space="preserve">sygehusnavn </w:t>
      </w:r>
      <w:r w:rsidR="001B34C7">
        <w:t>kan vises,</w:t>
      </w:r>
      <w:r w:rsidR="001B34C7" w:rsidDel="001B34C7">
        <w:t xml:space="preserve"> </w:t>
      </w:r>
      <w:r w:rsidR="009120D1" w:rsidRPr="00831B13">
        <w:t>når det er relevant</w:t>
      </w:r>
      <w:r w:rsidR="002C05C1">
        <w:t xml:space="preserve">. </w:t>
      </w:r>
      <w:r w:rsidR="00930549">
        <w:t>Det skal være muligt for brugeren at se enhedstypen for SOR-enheden med lokationsnummer</w:t>
      </w:r>
      <w:r w:rsidR="009120D1">
        <w:t xml:space="preserve">, </w:t>
      </w:r>
      <w:r w:rsidR="009120D1" w:rsidRPr="00831B13">
        <w:t>når det er relevant</w:t>
      </w:r>
      <w:r w:rsidR="00930549" w:rsidRPr="00354125">
        <w:t>.</w:t>
      </w:r>
      <w:r w:rsidR="00823714" w:rsidRPr="00354125">
        <w:t xml:space="preserve"> </w:t>
      </w:r>
    </w:p>
    <w:p w14:paraId="7B1DEC1F" w14:textId="13B48F89" w:rsidR="00046EF1" w:rsidRDefault="00823714" w:rsidP="000E0272">
      <w:r>
        <w:lastRenderedPageBreak/>
        <w:t xml:space="preserve">Ovenstående anses altid at være relevant ved afsendelse af en korrespondancemeddelelse. </w:t>
      </w:r>
    </w:p>
    <w:p w14:paraId="35B26506" w14:textId="6DA540BA" w:rsidR="00150E07" w:rsidRPr="001E45DE" w:rsidRDefault="00295E31" w:rsidP="00150E07">
      <w:pPr>
        <w:pStyle w:val="Overskrift2"/>
      </w:pPr>
      <w:bookmarkStart w:id="21" w:name="_Toc224030372"/>
      <w:r>
        <w:t>6</w:t>
      </w:r>
      <w:r w:rsidR="00150E07">
        <w:t xml:space="preserve">.1 </w:t>
      </w:r>
      <w:r w:rsidR="00150E07" w:rsidRPr="001E45DE">
        <w:t xml:space="preserve">Test for anvendelseskrav </w:t>
      </w:r>
      <w:r>
        <w:t>6</w:t>
      </w:r>
      <w:bookmarkEnd w:id="21"/>
    </w:p>
    <w:p w14:paraId="0E5EF91C" w14:textId="359DF064" w:rsidR="00E67B92" w:rsidRPr="009120D1" w:rsidRDefault="00E67B92" w:rsidP="00150E07">
      <w:pPr>
        <w:rPr>
          <w:color w:val="EE0000"/>
        </w:rPr>
      </w:pPr>
      <w:r w:rsidRPr="00E67B92">
        <w:t>Vis, at det er muligt for brugeren at finde oplysninger om kommunenavn, hospitals-/sygehusnavn og enhedstype</w:t>
      </w:r>
      <w:r w:rsidR="00354125">
        <w:t>, ved manuel fremsøgning af modtager</w:t>
      </w:r>
      <w:r w:rsidR="0050135D">
        <w:t xml:space="preserve"> af en meddelelse</w:t>
      </w:r>
      <w:r>
        <w:t>.</w:t>
      </w:r>
    </w:p>
    <w:p w14:paraId="365AC3E5" w14:textId="223D13A1" w:rsidR="00A10544" w:rsidRDefault="00A10544" w:rsidP="00A10544">
      <w:r>
        <w:t xml:space="preserve">Det er tilladt, at visning af </w:t>
      </w:r>
      <w:r w:rsidR="009120D1" w:rsidRPr="00831B13">
        <w:t>supplerende data</w:t>
      </w:r>
      <w:r w:rsidRPr="00831B13">
        <w:t xml:space="preserve"> </w:t>
      </w:r>
      <w:r>
        <w:t xml:space="preserve">fremkommer ved mouseover. </w:t>
      </w:r>
    </w:p>
    <w:p w14:paraId="5ED3D1D7" w14:textId="3CA32931" w:rsidR="0030600E" w:rsidRDefault="0025732F" w:rsidP="00994BBD">
      <w:pPr>
        <w:pStyle w:val="Overskrift1"/>
      </w:pPr>
      <w:bookmarkStart w:id="22" w:name="_Toc224030373"/>
      <w:r>
        <w:t>7.</w:t>
      </w:r>
      <w:bookmarkEnd w:id="22"/>
      <w:r>
        <w:t xml:space="preserve"> </w:t>
      </w:r>
      <w:bookmarkStart w:id="23" w:name="_Toc224030374"/>
      <w:r w:rsidR="0030600E" w:rsidRPr="001E45DE">
        <w:t>Anvendelseskrav</w:t>
      </w:r>
      <w:r w:rsidR="0030600E">
        <w:t xml:space="preserve"> </w:t>
      </w:r>
      <w:r>
        <w:t>7</w:t>
      </w:r>
      <w:r w:rsidR="0030600E">
        <w:t>: Lukkede enheder</w:t>
      </w:r>
      <w:bookmarkEnd w:id="23"/>
      <w:r w:rsidR="0030600E">
        <w:t xml:space="preserve"> </w:t>
      </w:r>
    </w:p>
    <w:p w14:paraId="72128A07" w14:textId="1E027BC0" w:rsidR="00B24AC4" w:rsidRDefault="0030600E" w:rsidP="0030600E">
      <w:r>
        <w:t xml:space="preserve">Det er ikke tilladt at sende meddelelser til lukkede lokationsnumre i SOR. </w:t>
      </w:r>
    </w:p>
    <w:p w14:paraId="473B86AE" w14:textId="35DFADD5" w:rsidR="0030600E" w:rsidRDefault="0030600E" w:rsidP="0030600E">
      <w:r>
        <w:t xml:space="preserve">Denne regel skal overholdes af </w:t>
      </w:r>
      <w:r w:rsidR="00B24AC4">
        <w:t>VANS-leverandører</w:t>
      </w:r>
      <w:r w:rsidR="00D429B3">
        <w:t xml:space="preserve">, som dermed skal sikre opslag i SOR. </w:t>
      </w:r>
      <w:r w:rsidR="00812225">
        <w:t xml:space="preserve">Hvis lokationsnummeret ikke findes i det aktuelle SOR-udtræk, kan meddelelsen ikke sendes </w:t>
      </w:r>
      <w:r w:rsidR="00872915">
        <w:t>til lukkede enheder.</w:t>
      </w:r>
      <w:r w:rsidR="00812225">
        <w:t xml:space="preserve"> </w:t>
      </w:r>
    </w:p>
    <w:p w14:paraId="69738E8D" w14:textId="17F0B0F6" w:rsidR="0014131C" w:rsidRPr="001E45DE" w:rsidRDefault="0025732F" w:rsidP="0014131C">
      <w:pPr>
        <w:pStyle w:val="Overskrift2"/>
      </w:pPr>
      <w:bookmarkStart w:id="24" w:name="_Toc224030375"/>
      <w:r>
        <w:t>7</w:t>
      </w:r>
      <w:r w:rsidR="0014131C">
        <w:t xml:space="preserve">.1 </w:t>
      </w:r>
      <w:r w:rsidR="0014131C" w:rsidRPr="001E45DE">
        <w:t xml:space="preserve">Test for anvendelseskrav </w:t>
      </w:r>
      <w:r>
        <w:t>7</w:t>
      </w:r>
      <w:bookmarkEnd w:id="24"/>
    </w:p>
    <w:p w14:paraId="11309423" w14:textId="69A11931" w:rsidR="0014131C" w:rsidRDefault="0014131C" w:rsidP="0014131C">
      <w:r>
        <w:t xml:space="preserve">Denne regel indgår ikke i testprotokol, men </w:t>
      </w:r>
      <w:r w:rsidR="00D429B3">
        <w:t>det overvåges via MedCom</w:t>
      </w:r>
      <w:r w:rsidR="00142207">
        <w:t>s</w:t>
      </w:r>
      <w:r w:rsidR="00D429B3">
        <w:t xml:space="preserve"> statistikværktøj, at reglen følges. </w:t>
      </w:r>
      <w:r>
        <w:t xml:space="preserve"> </w:t>
      </w:r>
    </w:p>
    <w:p w14:paraId="20C443ED" w14:textId="77777777" w:rsidR="00CF6032" w:rsidRDefault="00CF6032" w:rsidP="0014131C"/>
    <w:p w14:paraId="2A9744C2" w14:textId="4F83B5A7" w:rsidR="00CF6032" w:rsidRPr="00E2537E" w:rsidRDefault="00CF6032" w:rsidP="00994BBD">
      <w:pPr>
        <w:pStyle w:val="Overskrift1"/>
        <w:numPr>
          <w:ilvl w:val="0"/>
          <w:numId w:val="13"/>
        </w:numPr>
      </w:pPr>
      <w:bookmarkStart w:id="25" w:name="_Toc224030376"/>
      <w:r w:rsidRPr="00E2537E">
        <w:t xml:space="preserve">Anvendelseskrav </w:t>
      </w:r>
      <w:r w:rsidR="0025732F">
        <w:t>8</w:t>
      </w:r>
      <w:r w:rsidRPr="00E2537E">
        <w:t>: Forsendelse til aktive lokationsnumre</w:t>
      </w:r>
      <w:bookmarkEnd w:id="25"/>
    </w:p>
    <w:p w14:paraId="08359468" w14:textId="67DC2E2B" w:rsidR="00CF6032" w:rsidRDefault="00CF6032" w:rsidP="00CF6032">
      <w:r w:rsidRPr="00E2537E">
        <w:t>VANS-leverandører skal videresende meddelelser til lokationsnumre, hvis lokationsnummeret er aktivt i SOR</w:t>
      </w:r>
      <w:r w:rsidR="00CC343E">
        <w:t>,</w:t>
      </w:r>
      <w:r w:rsidR="008E5737">
        <w:t xml:space="preserve"> og </w:t>
      </w:r>
      <w:r w:rsidR="008E5737" w:rsidRPr="00831B13">
        <w:t>afsender har en aftale med egen VANS-leverandør</w:t>
      </w:r>
      <w:r w:rsidRPr="00E2537E">
        <w:t>. Der må ikke afvises meddelelser</w:t>
      </w:r>
      <w:r w:rsidR="00873CFB" w:rsidRPr="00E2537E">
        <w:t>,</w:t>
      </w:r>
      <w:r w:rsidRPr="00E2537E">
        <w:t xml:space="preserve"> </w:t>
      </w:r>
      <w:r w:rsidR="00955941" w:rsidRPr="00E2537E">
        <w:t xml:space="preserve">fordi lokationsnummeret er ukendt </w:t>
      </w:r>
      <w:r w:rsidR="00342FCA" w:rsidRPr="00E2537E">
        <w:t>hos</w:t>
      </w:r>
      <w:r w:rsidR="00955941" w:rsidRPr="00E2537E">
        <w:t xml:space="preserve"> </w:t>
      </w:r>
      <w:r w:rsidR="008E5737">
        <w:t xml:space="preserve">modtagers </w:t>
      </w:r>
      <w:r w:rsidR="00955941" w:rsidRPr="00E2537E">
        <w:t>VANS-leverandør</w:t>
      </w:r>
      <w:r w:rsidR="00342FCA" w:rsidRPr="00E2537E">
        <w:t xml:space="preserve">. </w:t>
      </w:r>
    </w:p>
    <w:p w14:paraId="1C6996F6" w14:textId="373A8F8C" w:rsidR="008E5737" w:rsidRPr="00831B13" w:rsidRDefault="00FA2B5F" w:rsidP="00CF6032">
      <w:r>
        <w:t>Nedenstående e</w:t>
      </w:r>
      <w:r w:rsidR="008E5737" w:rsidRPr="00831B13">
        <w:t>ksempel</w:t>
      </w:r>
      <w:r w:rsidR="00995659">
        <w:t xml:space="preserve"> </w:t>
      </w:r>
      <w:r>
        <w:t xml:space="preserve">vil </w:t>
      </w:r>
      <w:r w:rsidR="00995659">
        <w:t>ophøre, når anvendelses</w:t>
      </w:r>
      <w:r w:rsidR="00176747">
        <w:t>krav</w:t>
      </w:r>
      <w:r w:rsidR="00995659">
        <w:t xml:space="preserve"> </w:t>
      </w:r>
      <w:r>
        <w:t xml:space="preserve">8 </w:t>
      </w:r>
      <w:r w:rsidR="00176747">
        <w:t>opfyldes</w:t>
      </w:r>
      <w:r w:rsidR="008E5737" w:rsidRPr="00831B13">
        <w:t xml:space="preserve">: </w:t>
      </w:r>
    </w:p>
    <w:p w14:paraId="069A30F6" w14:textId="7883304E" w:rsidR="008E5737" w:rsidRPr="00831B13" w:rsidRDefault="008E5737" w:rsidP="00CF6032">
      <w:r w:rsidRPr="00831B13">
        <w:t>Afsender A har VANS-leverandør A</w:t>
      </w:r>
      <w:r w:rsidR="00592CAE" w:rsidRPr="00831B13">
        <w:t>,</w:t>
      </w:r>
      <w:r w:rsidRPr="00831B13">
        <w:t xml:space="preserve"> og modtager B har VANS-leverandør B. </w:t>
      </w:r>
    </w:p>
    <w:p w14:paraId="4494AEF4" w14:textId="29D82A25" w:rsidR="008E5737" w:rsidRPr="00831B13" w:rsidRDefault="008E5737" w:rsidP="00CF6032">
      <w:r w:rsidRPr="00831B13">
        <w:t>VANS-leverandør B afviser meddelelsen, da de ikke har åbnet for lokationsnummeret i egen database</w:t>
      </w:r>
      <w:r w:rsidR="001B55BE" w:rsidRPr="00831B13">
        <w:t>, men det</w:t>
      </w:r>
      <w:r w:rsidR="0050135D">
        <w:t>te</w:t>
      </w:r>
      <w:r w:rsidR="001B55BE" w:rsidRPr="00831B13">
        <w:t xml:space="preserve"> er ikke tilladt, når modtager har et aktivt lokationsnummer i SOR</w:t>
      </w:r>
      <w:r w:rsidRPr="00831B13">
        <w:t xml:space="preserve">. </w:t>
      </w:r>
    </w:p>
    <w:p w14:paraId="254EFFB3" w14:textId="34EFC37B" w:rsidR="008E5737" w:rsidRPr="00E2537E" w:rsidRDefault="008E5737" w:rsidP="00CF6032"/>
    <w:p w14:paraId="12FE74DC" w14:textId="0141BC08" w:rsidR="00CF6032" w:rsidRPr="00E2537E" w:rsidRDefault="0025732F" w:rsidP="00CF6032">
      <w:pPr>
        <w:pStyle w:val="Overskrift2"/>
      </w:pPr>
      <w:bookmarkStart w:id="26" w:name="_Toc224030377"/>
      <w:r>
        <w:t>8</w:t>
      </w:r>
      <w:r w:rsidR="00CF6032" w:rsidRPr="00E2537E">
        <w:t xml:space="preserve">.1 Test for anvendelseskrav </w:t>
      </w:r>
      <w:r>
        <w:t>8</w:t>
      </w:r>
      <w:bookmarkEnd w:id="26"/>
    </w:p>
    <w:p w14:paraId="46D5D4F1" w14:textId="6FAC7C21" w:rsidR="00CF6032" w:rsidRDefault="00CF6032" w:rsidP="00CF6032">
      <w:r w:rsidRPr="00E2537E">
        <w:t>Denne regel indgår ikke i testprotokol</w:t>
      </w:r>
      <w:r w:rsidR="002E60AD" w:rsidRPr="00E2537E">
        <w:t xml:space="preserve">. </w:t>
      </w:r>
      <w:r w:rsidR="00F93E8E" w:rsidRPr="00E2537E">
        <w:t xml:space="preserve">Overvågning i den </w:t>
      </w:r>
      <w:r w:rsidR="00BE1234" w:rsidRPr="00E2537E">
        <w:t xml:space="preserve">daglige drift </w:t>
      </w:r>
      <w:r w:rsidR="00895F63" w:rsidRPr="00E2537E">
        <w:t>medvirke</w:t>
      </w:r>
      <w:r w:rsidR="00F93E8E" w:rsidRPr="00E2537E">
        <w:t>r</w:t>
      </w:r>
      <w:r w:rsidR="00895F63" w:rsidRPr="00E2537E">
        <w:t xml:space="preserve"> til</w:t>
      </w:r>
      <w:r w:rsidR="00873CFB" w:rsidRPr="00E2537E">
        <w:t>,</w:t>
      </w:r>
      <w:r w:rsidR="00895F63" w:rsidRPr="00E2537E">
        <w:t xml:space="preserve"> at dette princip følges.</w:t>
      </w:r>
      <w:r w:rsidR="00895F63">
        <w:t xml:space="preserve"> </w:t>
      </w:r>
      <w:r w:rsidR="002E60AD">
        <w:t xml:space="preserve"> </w:t>
      </w:r>
      <w:r>
        <w:t xml:space="preserve">  </w:t>
      </w:r>
    </w:p>
    <w:p w14:paraId="582E18F6" w14:textId="77777777" w:rsidR="00CF6032" w:rsidRDefault="00CF6032" w:rsidP="0014131C"/>
    <w:sectPr w:rsidR="00CF603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CF4F4" w14:textId="77777777" w:rsidR="00C17928" w:rsidRDefault="00C17928" w:rsidP="00C45586">
      <w:pPr>
        <w:spacing w:after="0" w:line="240" w:lineRule="auto"/>
      </w:pPr>
      <w:r>
        <w:separator/>
      </w:r>
    </w:p>
  </w:endnote>
  <w:endnote w:type="continuationSeparator" w:id="0">
    <w:p w14:paraId="06DCF1C7" w14:textId="77777777" w:rsidR="00C17928" w:rsidRDefault="00C17928" w:rsidP="00C45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8324" w14:textId="77777777" w:rsidR="00CE6736" w:rsidRDefault="00CE673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7365925"/>
      <w:docPartObj>
        <w:docPartGallery w:val="Page Numbers (Bottom of Page)"/>
        <w:docPartUnique/>
      </w:docPartObj>
    </w:sdtPr>
    <w:sdtEndPr/>
    <w:sdtContent>
      <w:p w14:paraId="75341B26" w14:textId="19DA9061" w:rsidR="00693F04" w:rsidRDefault="00693F0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FDFB26" w14:textId="77777777" w:rsidR="00693F04" w:rsidRDefault="00693F0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FD0B" w14:textId="77777777" w:rsidR="00CE6736" w:rsidRDefault="00CE673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7B6A9" w14:textId="77777777" w:rsidR="00C17928" w:rsidRDefault="00C17928" w:rsidP="00C45586">
      <w:pPr>
        <w:spacing w:after="0" w:line="240" w:lineRule="auto"/>
      </w:pPr>
      <w:r>
        <w:separator/>
      </w:r>
    </w:p>
  </w:footnote>
  <w:footnote w:type="continuationSeparator" w:id="0">
    <w:p w14:paraId="0B992221" w14:textId="77777777" w:rsidR="00C17928" w:rsidRDefault="00C17928" w:rsidP="00C45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2DAE6" w14:textId="77777777" w:rsidR="00CE6736" w:rsidRDefault="00CE673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6442236"/>
      <w:docPartObj>
        <w:docPartGallery w:val="Watermarks"/>
        <w:docPartUnique/>
      </w:docPartObj>
    </w:sdtPr>
    <w:sdtEndPr/>
    <w:sdtContent>
      <w:p w14:paraId="6DCE8A88" w14:textId="7AA0172C" w:rsidR="00CE6736" w:rsidRDefault="00C17928">
        <w:pPr>
          <w:pStyle w:val="Sidehoved"/>
        </w:pPr>
        <w:r>
          <w:pict w14:anchorId="2D8BB10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681017" o:spid="_x0000_s1026" type="#_x0000_t136" style="position:absolute;margin-left:0;margin-top:0;width:559.5pt;height:119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HØRINGSVERSION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37FB7" w14:textId="77777777" w:rsidR="00CE6736" w:rsidRDefault="00CE673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483C"/>
    <w:multiLevelType w:val="multilevel"/>
    <w:tmpl w:val="CFF451F8"/>
    <w:lvl w:ilvl="0">
      <w:start w:val="2"/>
      <w:numFmt w:val="decimal"/>
      <w:lvlText w:val="%1"/>
      <w:lvlJc w:val="left"/>
      <w:pPr>
        <w:ind w:left="278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18" w:hanging="2160"/>
      </w:pPr>
      <w:rPr>
        <w:rFonts w:hint="default"/>
      </w:rPr>
    </w:lvl>
  </w:abstractNum>
  <w:abstractNum w:abstractNumId="1" w15:restartNumberingAfterBreak="0">
    <w:nsid w:val="0A441412"/>
    <w:multiLevelType w:val="multilevel"/>
    <w:tmpl w:val="377E5F0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D53128"/>
    <w:multiLevelType w:val="hybridMultilevel"/>
    <w:tmpl w:val="1EEC8398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06D39C0"/>
    <w:multiLevelType w:val="multilevel"/>
    <w:tmpl w:val="B6B26F62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8E15866"/>
    <w:multiLevelType w:val="hybridMultilevel"/>
    <w:tmpl w:val="C994DD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B4525"/>
    <w:multiLevelType w:val="hybridMultilevel"/>
    <w:tmpl w:val="B1ACA7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C2249"/>
    <w:multiLevelType w:val="hybridMultilevel"/>
    <w:tmpl w:val="9CCA7EA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94845"/>
    <w:multiLevelType w:val="hybridMultilevel"/>
    <w:tmpl w:val="9CCA7EA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156" w:hanging="360"/>
      </w:pPr>
    </w:lvl>
    <w:lvl w:ilvl="2" w:tplc="0406001B" w:tentative="1">
      <w:start w:val="1"/>
      <w:numFmt w:val="lowerRoman"/>
      <w:lvlText w:val="%3."/>
      <w:lvlJc w:val="right"/>
      <w:pPr>
        <w:ind w:left="1876" w:hanging="180"/>
      </w:pPr>
    </w:lvl>
    <w:lvl w:ilvl="3" w:tplc="0406000F" w:tentative="1">
      <w:start w:val="1"/>
      <w:numFmt w:val="decimal"/>
      <w:lvlText w:val="%4."/>
      <w:lvlJc w:val="left"/>
      <w:pPr>
        <w:ind w:left="2596" w:hanging="360"/>
      </w:pPr>
    </w:lvl>
    <w:lvl w:ilvl="4" w:tplc="04060019" w:tentative="1">
      <w:start w:val="1"/>
      <w:numFmt w:val="lowerLetter"/>
      <w:lvlText w:val="%5."/>
      <w:lvlJc w:val="left"/>
      <w:pPr>
        <w:ind w:left="3316" w:hanging="360"/>
      </w:pPr>
    </w:lvl>
    <w:lvl w:ilvl="5" w:tplc="0406001B" w:tentative="1">
      <w:start w:val="1"/>
      <w:numFmt w:val="lowerRoman"/>
      <w:lvlText w:val="%6."/>
      <w:lvlJc w:val="right"/>
      <w:pPr>
        <w:ind w:left="4036" w:hanging="180"/>
      </w:pPr>
    </w:lvl>
    <w:lvl w:ilvl="6" w:tplc="0406000F" w:tentative="1">
      <w:start w:val="1"/>
      <w:numFmt w:val="decimal"/>
      <w:lvlText w:val="%7."/>
      <w:lvlJc w:val="left"/>
      <w:pPr>
        <w:ind w:left="4756" w:hanging="360"/>
      </w:pPr>
    </w:lvl>
    <w:lvl w:ilvl="7" w:tplc="04060019" w:tentative="1">
      <w:start w:val="1"/>
      <w:numFmt w:val="lowerLetter"/>
      <w:lvlText w:val="%8."/>
      <w:lvlJc w:val="left"/>
      <w:pPr>
        <w:ind w:left="5476" w:hanging="360"/>
      </w:pPr>
    </w:lvl>
    <w:lvl w:ilvl="8" w:tplc="040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4C923B02"/>
    <w:multiLevelType w:val="multilevel"/>
    <w:tmpl w:val="E9D2CCFA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9" w15:restartNumberingAfterBreak="0">
    <w:nsid w:val="4EC65515"/>
    <w:multiLevelType w:val="hybridMultilevel"/>
    <w:tmpl w:val="79A895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F673F"/>
    <w:multiLevelType w:val="hybridMultilevel"/>
    <w:tmpl w:val="9CCA7EA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736DD"/>
    <w:multiLevelType w:val="hybridMultilevel"/>
    <w:tmpl w:val="9CCA7EA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83DD8"/>
    <w:multiLevelType w:val="hybridMultilevel"/>
    <w:tmpl w:val="9CCA7E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5033C"/>
    <w:multiLevelType w:val="hybridMultilevel"/>
    <w:tmpl w:val="E99C97E6"/>
    <w:lvl w:ilvl="0" w:tplc="6832A05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0096740">
    <w:abstractNumId w:val="3"/>
  </w:num>
  <w:num w:numId="2" w16cid:durableId="837382401">
    <w:abstractNumId w:val="1"/>
  </w:num>
  <w:num w:numId="3" w16cid:durableId="109904547">
    <w:abstractNumId w:val="0"/>
  </w:num>
  <w:num w:numId="4" w16cid:durableId="1806851857">
    <w:abstractNumId w:val="4"/>
  </w:num>
  <w:num w:numId="5" w16cid:durableId="1064258516">
    <w:abstractNumId w:val="7"/>
  </w:num>
  <w:num w:numId="6" w16cid:durableId="294024819">
    <w:abstractNumId w:val="8"/>
  </w:num>
  <w:num w:numId="7" w16cid:durableId="1198351654">
    <w:abstractNumId w:val="9"/>
  </w:num>
  <w:num w:numId="8" w16cid:durableId="1117945281">
    <w:abstractNumId w:val="12"/>
  </w:num>
  <w:num w:numId="9" w16cid:durableId="854617309">
    <w:abstractNumId w:val="2"/>
  </w:num>
  <w:num w:numId="10" w16cid:durableId="793476451">
    <w:abstractNumId w:val="10"/>
  </w:num>
  <w:num w:numId="11" w16cid:durableId="333069144">
    <w:abstractNumId w:val="6"/>
  </w:num>
  <w:num w:numId="12" w16cid:durableId="27262999">
    <w:abstractNumId w:val="11"/>
  </w:num>
  <w:num w:numId="13" w16cid:durableId="2000618106">
    <w:abstractNumId w:val="13"/>
  </w:num>
  <w:num w:numId="14" w16cid:durableId="455027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86"/>
    <w:rsid w:val="000008DC"/>
    <w:rsid w:val="00000B97"/>
    <w:rsid w:val="00002493"/>
    <w:rsid w:val="000103F1"/>
    <w:rsid w:val="00024ABC"/>
    <w:rsid w:val="0002579C"/>
    <w:rsid w:val="000316E6"/>
    <w:rsid w:val="00033483"/>
    <w:rsid w:val="00034EF9"/>
    <w:rsid w:val="00040084"/>
    <w:rsid w:val="000418BA"/>
    <w:rsid w:val="000430D4"/>
    <w:rsid w:val="00044981"/>
    <w:rsid w:val="00046EF1"/>
    <w:rsid w:val="000571D5"/>
    <w:rsid w:val="00061CCF"/>
    <w:rsid w:val="00064CEA"/>
    <w:rsid w:val="00077C28"/>
    <w:rsid w:val="0008766E"/>
    <w:rsid w:val="000A5402"/>
    <w:rsid w:val="000A6191"/>
    <w:rsid w:val="000B0B3E"/>
    <w:rsid w:val="000B0CCD"/>
    <w:rsid w:val="000B4E37"/>
    <w:rsid w:val="000D3EBA"/>
    <w:rsid w:val="000D7678"/>
    <w:rsid w:val="000E0272"/>
    <w:rsid w:val="00111FBC"/>
    <w:rsid w:val="001133D1"/>
    <w:rsid w:val="001210C9"/>
    <w:rsid w:val="00121C1B"/>
    <w:rsid w:val="001248A7"/>
    <w:rsid w:val="0012539C"/>
    <w:rsid w:val="0013532D"/>
    <w:rsid w:val="0014131C"/>
    <w:rsid w:val="00142207"/>
    <w:rsid w:val="00143144"/>
    <w:rsid w:val="00150E07"/>
    <w:rsid w:val="00155FD2"/>
    <w:rsid w:val="00160152"/>
    <w:rsid w:val="00174BE1"/>
    <w:rsid w:val="00176747"/>
    <w:rsid w:val="00186389"/>
    <w:rsid w:val="00187E94"/>
    <w:rsid w:val="00197FC8"/>
    <w:rsid w:val="001A572F"/>
    <w:rsid w:val="001B34C7"/>
    <w:rsid w:val="001B54C7"/>
    <w:rsid w:val="001B55BE"/>
    <w:rsid w:val="001B77BB"/>
    <w:rsid w:val="001C1C27"/>
    <w:rsid w:val="001C2E28"/>
    <w:rsid w:val="001C4037"/>
    <w:rsid w:val="001C41C2"/>
    <w:rsid w:val="001E0E43"/>
    <w:rsid w:val="001E1BD1"/>
    <w:rsid w:val="001E3C08"/>
    <w:rsid w:val="001E45DE"/>
    <w:rsid w:val="001F3F03"/>
    <w:rsid w:val="001F4FF6"/>
    <w:rsid w:val="001F6365"/>
    <w:rsid w:val="00201334"/>
    <w:rsid w:val="00205C04"/>
    <w:rsid w:val="002358BD"/>
    <w:rsid w:val="00253248"/>
    <w:rsid w:val="0025732F"/>
    <w:rsid w:val="00262D81"/>
    <w:rsid w:val="00265762"/>
    <w:rsid w:val="002766BC"/>
    <w:rsid w:val="00277800"/>
    <w:rsid w:val="00280F5D"/>
    <w:rsid w:val="0028686A"/>
    <w:rsid w:val="00287407"/>
    <w:rsid w:val="00295E31"/>
    <w:rsid w:val="002A1721"/>
    <w:rsid w:val="002A2B0C"/>
    <w:rsid w:val="002A40B2"/>
    <w:rsid w:val="002A6838"/>
    <w:rsid w:val="002B7010"/>
    <w:rsid w:val="002C05C1"/>
    <w:rsid w:val="002C5FB7"/>
    <w:rsid w:val="002D12B2"/>
    <w:rsid w:val="002E60AD"/>
    <w:rsid w:val="002F3B27"/>
    <w:rsid w:val="002F65B5"/>
    <w:rsid w:val="00300C5B"/>
    <w:rsid w:val="0030600E"/>
    <w:rsid w:val="00317444"/>
    <w:rsid w:val="00320CC9"/>
    <w:rsid w:val="00322F5B"/>
    <w:rsid w:val="0032538E"/>
    <w:rsid w:val="00335A77"/>
    <w:rsid w:val="00342FCA"/>
    <w:rsid w:val="00344092"/>
    <w:rsid w:val="0034429B"/>
    <w:rsid w:val="0034702A"/>
    <w:rsid w:val="00352721"/>
    <w:rsid w:val="00354125"/>
    <w:rsid w:val="003558F8"/>
    <w:rsid w:val="003746FA"/>
    <w:rsid w:val="00376BDB"/>
    <w:rsid w:val="003803CD"/>
    <w:rsid w:val="0038127A"/>
    <w:rsid w:val="00381411"/>
    <w:rsid w:val="003A2031"/>
    <w:rsid w:val="003A224C"/>
    <w:rsid w:val="003B0737"/>
    <w:rsid w:val="003B4FBA"/>
    <w:rsid w:val="003C30DF"/>
    <w:rsid w:val="003D2886"/>
    <w:rsid w:val="003E1D20"/>
    <w:rsid w:val="003F0BF2"/>
    <w:rsid w:val="003F1FEB"/>
    <w:rsid w:val="004000F8"/>
    <w:rsid w:val="00410432"/>
    <w:rsid w:val="0041434A"/>
    <w:rsid w:val="0042215B"/>
    <w:rsid w:val="00431980"/>
    <w:rsid w:val="004443DF"/>
    <w:rsid w:val="00455D81"/>
    <w:rsid w:val="00456CE0"/>
    <w:rsid w:val="0045762B"/>
    <w:rsid w:val="00475621"/>
    <w:rsid w:val="0047628D"/>
    <w:rsid w:val="00492FD2"/>
    <w:rsid w:val="0049729D"/>
    <w:rsid w:val="004B1D24"/>
    <w:rsid w:val="004C4DEA"/>
    <w:rsid w:val="004C71FB"/>
    <w:rsid w:val="004E2866"/>
    <w:rsid w:val="004E4BE3"/>
    <w:rsid w:val="004E604C"/>
    <w:rsid w:val="004F1EC8"/>
    <w:rsid w:val="004F302B"/>
    <w:rsid w:val="0050135D"/>
    <w:rsid w:val="005025B9"/>
    <w:rsid w:val="005153C3"/>
    <w:rsid w:val="00521BB2"/>
    <w:rsid w:val="005335C7"/>
    <w:rsid w:val="005353E9"/>
    <w:rsid w:val="005461B5"/>
    <w:rsid w:val="00546477"/>
    <w:rsid w:val="00546559"/>
    <w:rsid w:val="005479DD"/>
    <w:rsid w:val="005512D4"/>
    <w:rsid w:val="005549CC"/>
    <w:rsid w:val="00556093"/>
    <w:rsid w:val="00562300"/>
    <w:rsid w:val="00563854"/>
    <w:rsid w:val="00566B07"/>
    <w:rsid w:val="005726FC"/>
    <w:rsid w:val="005746AC"/>
    <w:rsid w:val="00576C57"/>
    <w:rsid w:val="00591CD5"/>
    <w:rsid w:val="00592CAE"/>
    <w:rsid w:val="00595101"/>
    <w:rsid w:val="005A1CAF"/>
    <w:rsid w:val="005A4C81"/>
    <w:rsid w:val="005A79A6"/>
    <w:rsid w:val="005A7C7F"/>
    <w:rsid w:val="005B6507"/>
    <w:rsid w:val="005B741D"/>
    <w:rsid w:val="005C5556"/>
    <w:rsid w:val="005D2AE3"/>
    <w:rsid w:val="005D4918"/>
    <w:rsid w:val="005E2F7C"/>
    <w:rsid w:val="005F09B1"/>
    <w:rsid w:val="005F2DC8"/>
    <w:rsid w:val="00601334"/>
    <w:rsid w:val="0063129C"/>
    <w:rsid w:val="0063335F"/>
    <w:rsid w:val="00636317"/>
    <w:rsid w:val="00645D3B"/>
    <w:rsid w:val="0066588D"/>
    <w:rsid w:val="0066782C"/>
    <w:rsid w:val="00673879"/>
    <w:rsid w:val="00677A49"/>
    <w:rsid w:val="0068188C"/>
    <w:rsid w:val="006866BD"/>
    <w:rsid w:val="00686F4E"/>
    <w:rsid w:val="00687A0D"/>
    <w:rsid w:val="00693F04"/>
    <w:rsid w:val="006B0152"/>
    <w:rsid w:val="006B10B5"/>
    <w:rsid w:val="006B2EAC"/>
    <w:rsid w:val="006B3F95"/>
    <w:rsid w:val="006C1757"/>
    <w:rsid w:val="006C676D"/>
    <w:rsid w:val="006C7E0E"/>
    <w:rsid w:val="006F1444"/>
    <w:rsid w:val="006F4573"/>
    <w:rsid w:val="00703618"/>
    <w:rsid w:val="00720B20"/>
    <w:rsid w:val="00721D47"/>
    <w:rsid w:val="007229DB"/>
    <w:rsid w:val="00724A31"/>
    <w:rsid w:val="007314DD"/>
    <w:rsid w:val="00734B4A"/>
    <w:rsid w:val="00741684"/>
    <w:rsid w:val="00744CC5"/>
    <w:rsid w:val="00747B4F"/>
    <w:rsid w:val="00761647"/>
    <w:rsid w:val="007642F1"/>
    <w:rsid w:val="0077720C"/>
    <w:rsid w:val="007963BB"/>
    <w:rsid w:val="007970CB"/>
    <w:rsid w:val="007B0D98"/>
    <w:rsid w:val="007B575D"/>
    <w:rsid w:val="007B6B3C"/>
    <w:rsid w:val="007B7EF8"/>
    <w:rsid w:val="007C53C2"/>
    <w:rsid w:val="007C5FDD"/>
    <w:rsid w:val="007C6233"/>
    <w:rsid w:val="007D3895"/>
    <w:rsid w:val="007F3212"/>
    <w:rsid w:val="007F3FB6"/>
    <w:rsid w:val="00806060"/>
    <w:rsid w:val="00811001"/>
    <w:rsid w:val="00812225"/>
    <w:rsid w:val="00823714"/>
    <w:rsid w:val="008279B2"/>
    <w:rsid w:val="00831B13"/>
    <w:rsid w:val="008372B8"/>
    <w:rsid w:val="008374D2"/>
    <w:rsid w:val="00842018"/>
    <w:rsid w:val="0084260B"/>
    <w:rsid w:val="00845B65"/>
    <w:rsid w:val="008567D6"/>
    <w:rsid w:val="0085689D"/>
    <w:rsid w:val="00860F6A"/>
    <w:rsid w:val="00865A7C"/>
    <w:rsid w:val="00866594"/>
    <w:rsid w:val="0086707A"/>
    <w:rsid w:val="008728DE"/>
    <w:rsid w:val="00872915"/>
    <w:rsid w:val="00873CFB"/>
    <w:rsid w:val="008778CD"/>
    <w:rsid w:val="00882581"/>
    <w:rsid w:val="008840E4"/>
    <w:rsid w:val="008933E7"/>
    <w:rsid w:val="00894897"/>
    <w:rsid w:val="00895317"/>
    <w:rsid w:val="00895F63"/>
    <w:rsid w:val="008A233D"/>
    <w:rsid w:val="008B091A"/>
    <w:rsid w:val="008B2867"/>
    <w:rsid w:val="008C1A80"/>
    <w:rsid w:val="008D13E2"/>
    <w:rsid w:val="008E2B6C"/>
    <w:rsid w:val="008E486D"/>
    <w:rsid w:val="008E5737"/>
    <w:rsid w:val="008E5CCB"/>
    <w:rsid w:val="008F1597"/>
    <w:rsid w:val="008F1733"/>
    <w:rsid w:val="008F50A7"/>
    <w:rsid w:val="008F5B4D"/>
    <w:rsid w:val="008F6306"/>
    <w:rsid w:val="00905EBE"/>
    <w:rsid w:val="009120D1"/>
    <w:rsid w:val="00912EE7"/>
    <w:rsid w:val="009144BA"/>
    <w:rsid w:val="009179DE"/>
    <w:rsid w:val="00921705"/>
    <w:rsid w:val="00930549"/>
    <w:rsid w:val="00937176"/>
    <w:rsid w:val="0094370D"/>
    <w:rsid w:val="00954655"/>
    <w:rsid w:val="00955941"/>
    <w:rsid w:val="0095674E"/>
    <w:rsid w:val="00964C49"/>
    <w:rsid w:val="009823E8"/>
    <w:rsid w:val="009831E4"/>
    <w:rsid w:val="00993828"/>
    <w:rsid w:val="00994BBD"/>
    <w:rsid w:val="00995471"/>
    <w:rsid w:val="00995659"/>
    <w:rsid w:val="009A3268"/>
    <w:rsid w:val="009B23BB"/>
    <w:rsid w:val="009B2C65"/>
    <w:rsid w:val="009B2D81"/>
    <w:rsid w:val="009B3B59"/>
    <w:rsid w:val="009C7BE7"/>
    <w:rsid w:val="009D01D3"/>
    <w:rsid w:val="009D7875"/>
    <w:rsid w:val="009E08BE"/>
    <w:rsid w:val="009E0984"/>
    <w:rsid w:val="009E1751"/>
    <w:rsid w:val="009E3042"/>
    <w:rsid w:val="009E3923"/>
    <w:rsid w:val="009E5FB9"/>
    <w:rsid w:val="009F1BD5"/>
    <w:rsid w:val="00A03D20"/>
    <w:rsid w:val="00A10544"/>
    <w:rsid w:val="00A10AE9"/>
    <w:rsid w:val="00A27D4E"/>
    <w:rsid w:val="00A313F8"/>
    <w:rsid w:val="00A3180C"/>
    <w:rsid w:val="00A43F89"/>
    <w:rsid w:val="00A5797A"/>
    <w:rsid w:val="00A6077B"/>
    <w:rsid w:val="00A721DB"/>
    <w:rsid w:val="00A866E5"/>
    <w:rsid w:val="00A91535"/>
    <w:rsid w:val="00A937E8"/>
    <w:rsid w:val="00A95562"/>
    <w:rsid w:val="00AA3152"/>
    <w:rsid w:val="00AA4AAE"/>
    <w:rsid w:val="00AC23AC"/>
    <w:rsid w:val="00AC2A86"/>
    <w:rsid w:val="00AC392E"/>
    <w:rsid w:val="00AC7678"/>
    <w:rsid w:val="00AD124A"/>
    <w:rsid w:val="00AD2562"/>
    <w:rsid w:val="00AD52F2"/>
    <w:rsid w:val="00AE214D"/>
    <w:rsid w:val="00AE4208"/>
    <w:rsid w:val="00AE4847"/>
    <w:rsid w:val="00B0128E"/>
    <w:rsid w:val="00B01436"/>
    <w:rsid w:val="00B116E8"/>
    <w:rsid w:val="00B139AB"/>
    <w:rsid w:val="00B21E9E"/>
    <w:rsid w:val="00B24AC4"/>
    <w:rsid w:val="00B27171"/>
    <w:rsid w:val="00B36CE5"/>
    <w:rsid w:val="00B66894"/>
    <w:rsid w:val="00B670ED"/>
    <w:rsid w:val="00B748E1"/>
    <w:rsid w:val="00B822A1"/>
    <w:rsid w:val="00B82D40"/>
    <w:rsid w:val="00B87E15"/>
    <w:rsid w:val="00B908EF"/>
    <w:rsid w:val="00BB2A96"/>
    <w:rsid w:val="00BB3A85"/>
    <w:rsid w:val="00BB5341"/>
    <w:rsid w:val="00BC0A33"/>
    <w:rsid w:val="00BC3FEC"/>
    <w:rsid w:val="00BC4995"/>
    <w:rsid w:val="00BC536C"/>
    <w:rsid w:val="00BD0291"/>
    <w:rsid w:val="00BD399F"/>
    <w:rsid w:val="00BE0E52"/>
    <w:rsid w:val="00BE1234"/>
    <w:rsid w:val="00BE5455"/>
    <w:rsid w:val="00BF1B55"/>
    <w:rsid w:val="00BF7850"/>
    <w:rsid w:val="00C00109"/>
    <w:rsid w:val="00C00628"/>
    <w:rsid w:val="00C056A9"/>
    <w:rsid w:val="00C17928"/>
    <w:rsid w:val="00C259EF"/>
    <w:rsid w:val="00C314A6"/>
    <w:rsid w:val="00C34E88"/>
    <w:rsid w:val="00C45586"/>
    <w:rsid w:val="00C54B89"/>
    <w:rsid w:val="00C551C3"/>
    <w:rsid w:val="00C60EA4"/>
    <w:rsid w:val="00C60FAA"/>
    <w:rsid w:val="00C71CF6"/>
    <w:rsid w:val="00C72A99"/>
    <w:rsid w:val="00C82EF6"/>
    <w:rsid w:val="00C93864"/>
    <w:rsid w:val="00C962BB"/>
    <w:rsid w:val="00C97FFE"/>
    <w:rsid w:val="00CA6D81"/>
    <w:rsid w:val="00CB1133"/>
    <w:rsid w:val="00CB3F0F"/>
    <w:rsid w:val="00CB59E5"/>
    <w:rsid w:val="00CB6FDB"/>
    <w:rsid w:val="00CC343E"/>
    <w:rsid w:val="00CC5B9B"/>
    <w:rsid w:val="00CD418E"/>
    <w:rsid w:val="00CE2260"/>
    <w:rsid w:val="00CE55A8"/>
    <w:rsid w:val="00CE6736"/>
    <w:rsid w:val="00CE72EB"/>
    <w:rsid w:val="00CF0B38"/>
    <w:rsid w:val="00CF505F"/>
    <w:rsid w:val="00CF6032"/>
    <w:rsid w:val="00D1434B"/>
    <w:rsid w:val="00D30F64"/>
    <w:rsid w:val="00D3402E"/>
    <w:rsid w:val="00D429B3"/>
    <w:rsid w:val="00D5062D"/>
    <w:rsid w:val="00D62865"/>
    <w:rsid w:val="00D70F92"/>
    <w:rsid w:val="00D7244C"/>
    <w:rsid w:val="00D91F14"/>
    <w:rsid w:val="00D96138"/>
    <w:rsid w:val="00D974CF"/>
    <w:rsid w:val="00DA5EFE"/>
    <w:rsid w:val="00DA66E3"/>
    <w:rsid w:val="00DA69E4"/>
    <w:rsid w:val="00DA7744"/>
    <w:rsid w:val="00DC70AA"/>
    <w:rsid w:val="00DD2905"/>
    <w:rsid w:val="00DE3073"/>
    <w:rsid w:val="00E020DA"/>
    <w:rsid w:val="00E0709E"/>
    <w:rsid w:val="00E22E78"/>
    <w:rsid w:val="00E2537E"/>
    <w:rsid w:val="00E32346"/>
    <w:rsid w:val="00E33995"/>
    <w:rsid w:val="00E43395"/>
    <w:rsid w:val="00E608DE"/>
    <w:rsid w:val="00E67B92"/>
    <w:rsid w:val="00E70E17"/>
    <w:rsid w:val="00E81BB8"/>
    <w:rsid w:val="00E90BAA"/>
    <w:rsid w:val="00E92BB7"/>
    <w:rsid w:val="00E92DC4"/>
    <w:rsid w:val="00EA5005"/>
    <w:rsid w:val="00EA5ABB"/>
    <w:rsid w:val="00EB0ACF"/>
    <w:rsid w:val="00EB3287"/>
    <w:rsid w:val="00EB3591"/>
    <w:rsid w:val="00EB7AEA"/>
    <w:rsid w:val="00EC1C70"/>
    <w:rsid w:val="00EF23F2"/>
    <w:rsid w:val="00EF370A"/>
    <w:rsid w:val="00EF5796"/>
    <w:rsid w:val="00F034D9"/>
    <w:rsid w:val="00F06F56"/>
    <w:rsid w:val="00F10B18"/>
    <w:rsid w:val="00F166CE"/>
    <w:rsid w:val="00F171EA"/>
    <w:rsid w:val="00F318AD"/>
    <w:rsid w:val="00F42FF9"/>
    <w:rsid w:val="00F44167"/>
    <w:rsid w:val="00F45FBB"/>
    <w:rsid w:val="00F4695F"/>
    <w:rsid w:val="00F50D7A"/>
    <w:rsid w:val="00F51C60"/>
    <w:rsid w:val="00F5306B"/>
    <w:rsid w:val="00F53F81"/>
    <w:rsid w:val="00F55554"/>
    <w:rsid w:val="00F60D32"/>
    <w:rsid w:val="00F61B15"/>
    <w:rsid w:val="00F62728"/>
    <w:rsid w:val="00F77DBA"/>
    <w:rsid w:val="00F82F73"/>
    <w:rsid w:val="00F833EF"/>
    <w:rsid w:val="00F92B2D"/>
    <w:rsid w:val="00F93E8E"/>
    <w:rsid w:val="00FA2B5F"/>
    <w:rsid w:val="00FA337C"/>
    <w:rsid w:val="00FA48D0"/>
    <w:rsid w:val="00FA5B83"/>
    <w:rsid w:val="00FB3970"/>
    <w:rsid w:val="00FC0917"/>
    <w:rsid w:val="00FC0AD2"/>
    <w:rsid w:val="00FC10B9"/>
    <w:rsid w:val="00FC1FE2"/>
    <w:rsid w:val="00FD093C"/>
    <w:rsid w:val="00FD4263"/>
    <w:rsid w:val="00FD7B16"/>
    <w:rsid w:val="00FE378A"/>
    <w:rsid w:val="00FF0979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750FD"/>
  <w15:chartTrackingRefBased/>
  <w15:docId w15:val="{BA11565C-6430-486B-AF9A-DF88BB0E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586"/>
  </w:style>
  <w:style w:type="paragraph" w:styleId="Overskrift1">
    <w:name w:val="heading 1"/>
    <w:basedOn w:val="Normal"/>
    <w:next w:val="Normal"/>
    <w:link w:val="Overskrift1Tegn"/>
    <w:uiPriority w:val="9"/>
    <w:qFormat/>
    <w:rsid w:val="00C45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45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45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45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C45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45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45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45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45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45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45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45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4558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4558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4558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4558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4558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455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45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45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45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45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45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4558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4558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4558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45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4558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455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45586"/>
    <w:rPr>
      <w:color w:val="467886" w:themeColor="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45586"/>
    <w:pPr>
      <w:spacing w:after="0" w:line="240" w:lineRule="auto"/>
    </w:pPr>
    <w:rPr>
      <w:rFonts w:eastAsiaTheme="minorEastAsia"/>
      <w:kern w:val="0"/>
      <w:sz w:val="20"/>
      <w:szCs w:val="20"/>
      <w:lang w:eastAsia="da-DK"/>
      <w14:ligatures w14:val="none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45586"/>
    <w:rPr>
      <w:rFonts w:eastAsiaTheme="minorEastAsia"/>
      <w:kern w:val="0"/>
      <w:sz w:val="20"/>
      <w:szCs w:val="20"/>
      <w:lang w:eastAsia="da-DK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45586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4558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4558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45586"/>
    <w:rPr>
      <w:sz w:val="20"/>
      <w:szCs w:val="20"/>
    </w:rPr>
  </w:style>
  <w:style w:type="paragraph" w:styleId="Overskrift">
    <w:name w:val="TOC Heading"/>
    <w:basedOn w:val="Overskrift1"/>
    <w:next w:val="Normal"/>
    <w:uiPriority w:val="39"/>
    <w:unhideWhenUsed/>
    <w:qFormat/>
    <w:rsid w:val="00C45586"/>
    <w:pPr>
      <w:spacing w:before="240" w:after="0"/>
      <w:outlineLvl w:val="9"/>
    </w:pPr>
    <w:rPr>
      <w:kern w:val="0"/>
      <w:sz w:val="32"/>
      <w:szCs w:val="32"/>
      <w:lang w:eastAsia="da-DK"/>
      <w14:ligatures w14:val="non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C45586"/>
    <w:pPr>
      <w:spacing w:after="10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C45586"/>
    <w:pPr>
      <w:spacing w:after="100"/>
      <w:ind w:left="44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C45586"/>
    <w:pPr>
      <w:spacing w:after="100"/>
      <w:ind w:left="220"/>
    </w:pPr>
  </w:style>
  <w:style w:type="table" w:styleId="Tabel-Gitter">
    <w:name w:val="Table Grid"/>
    <w:basedOn w:val="Tabel-Normal"/>
    <w:uiPriority w:val="39"/>
    <w:rsid w:val="0054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642F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642F1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693F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93F04"/>
  </w:style>
  <w:style w:type="paragraph" w:styleId="Sidefod">
    <w:name w:val="footer"/>
    <w:basedOn w:val="Normal"/>
    <w:link w:val="SidefodTegn"/>
    <w:uiPriority w:val="99"/>
    <w:unhideWhenUsed/>
    <w:rsid w:val="00693F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93F04"/>
  </w:style>
  <w:style w:type="paragraph" w:styleId="Korrektur">
    <w:name w:val="Revision"/>
    <w:hidden/>
    <w:uiPriority w:val="99"/>
    <w:semiHidden/>
    <w:rsid w:val="00044981"/>
    <w:pPr>
      <w:spacing w:after="0" w:line="240" w:lineRule="auto"/>
    </w:pPr>
  </w:style>
  <w:style w:type="character" w:styleId="Ulstomtale">
    <w:name w:val="Unresolved Mention"/>
    <w:basedOn w:val="Standardskrifttypeiafsnit"/>
    <w:uiPriority w:val="99"/>
    <w:semiHidden/>
    <w:unhideWhenUsed/>
    <w:rsid w:val="00576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r-filer.sundhedsdata.dk/sor_produktion/data/sor/edityper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sor-filer.sundhedsdata.dk/sor_produktion/data/sor/sorxml/v_3_0_0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atistik.medcom.dk/exports/treatment_packages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bb4a98-021c-4a4f-b0e8-4ddec47a2dd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003833D7C57242A8EC061EA3EA4D76" ma:contentTypeVersion="18" ma:contentTypeDescription="Opret et nyt dokument." ma:contentTypeScope="" ma:versionID="9a891135da1bff143402a997a1a05144">
  <xsd:schema xmlns:xsd="http://www.w3.org/2001/XMLSchema" xmlns:xs="http://www.w3.org/2001/XMLSchema" xmlns:p="http://schemas.microsoft.com/office/2006/metadata/properties" xmlns:ns3="95bb4a98-021c-4a4f-b0e8-4ddec47a2dd6" xmlns:ns4="e5b77759-a4e5-441b-9945-aa756b220db2" targetNamespace="http://schemas.microsoft.com/office/2006/metadata/properties" ma:root="true" ma:fieldsID="87be826d94df06ae2c8d911410672df4" ns3:_="" ns4:_="">
    <xsd:import namespace="95bb4a98-021c-4a4f-b0e8-4ddec47a2dd6"/>
    <xsd:import namespace="e5b77759-a4e5-441b-9945-aa756b220d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b4a98-021c-4a4f-b0e8-4ddec47a2d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77759-a4e5-441b-9945-aa756b220db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D89317-D926-4059-B843-096B4F94B80E}">
  <ds:schemaRefs>
    <ds:schemaRef ds:uri="http://schemas.microsoft.com/office/2006/metadata/properties"/>
    <ds:schemaRef ds:uri="http://schemas.microsoft.com/office/infopath/2007/PartnerControls"/>
    <ds:schemaRef ds:uri="95bb4a98-021c-4a4f-b0e8-4ddec47a2dd6"/>
  </ds:schemaRefs>
</ds:datastoreItem>
</file>

<file path=customXml/itemProps2.xml><?xml version="1.0" encoding="utf-8"?>
<ds:datastoreItem xmlns:ds="http://schemas.openxmlformats.org/officeDocument/2006/customXml" ds:itemID="{24D55E46-A0DC-42F8-B40F-48D46BED4F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1DDE74-514D-400F-9882-0D9EEFBED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b4a98-021c-4a4f-b0e8-4ddec47a2dd6"/>
    <ds:schemaRef ds:uri="e5b77759-a4e5-441b-9945-aa756b220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AA0E35-67DB-447C-92CC-ECA14C062A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1761</Words>
  <Characters>10250</Characters>
  <Application>Microsoft Office Word</Application>
  <DocSecurity>0</DocSecurity>
  <Lines>244</Lines>
  <Paragraphs>104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Jensen</dc:creator>
  <cp:keywords/>
  <dc:description/>
  <cp:lastModifiedBy>Jeanette Jensen</cp:lastModifiedBy>
  <cp:revision>3</cp:revision>
  <cp:lastPrinted>2026-03-25T07:19:00Z</cp:lastPrinted>
  <dcterms:created xsi:type="dcterms:W3CDTF">2026-04-21T07:33:00Z</dcterms:created>
  <dcterms:modified xsi:type="dcterms:W3CDTF">2026-04-21T08:48:00Z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0x010100A0003833D7C57242A8EC061EA3EA4D76</vt:lpwstr>
  </property>
</Properties>
</file>